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110DD" w14:textId="77777777" w:rsidR="007F5395" w:rsidRDefault="006004F7">
      <w:pPr>
        <w:jc w:val="both"/>
      </w:pPr>
      <w:r>
        <w:t>Судья</w:t>
      </w:r>
      <w:r>
        <w:tab/>
        <w:t xml:space="preserve">Ежова Е.А.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>
        <w:tab/>
        <w:t xml:space="preserve">                    гр. дело № 33-33699\19</w:t>
      </w:r>
    </w:p>
    <w:p w14:paraId="4B60DAB5" w14:textId="77777777" w:rsidR="007F5395" w:rsidRDefault="006004F7">
      <w:pPr>
        <w:ind w:firstLine="709"/>
        <w:jc w:val="center"/>
      </w:pPr>
    </w:p>
    <w:p w14:paraId="5DB32539" w14:textId="77777777" w:rsidR="007F5395" w:rsidRDefault="006004F7">
      <w:pPr>
        <w:ind w:firstLine="709"/>
        <w:jc w:val="center"/>
      </w:pPr>
      <w:r>
        <w:rPr>
          <w:b/>
          <w:bCs/>
        </w:rPr>
        <w:t>АПЕЛЛЯЦИОННОЕ  ОПРЕДЕЛЕНИЕ</w:t>
      </w:r>
    </w:p>
    <w:p w14:paraId="3CA7E2E2" w14:textId="77777777" w:rsidR="007F5395" w:rsidRDefault="006004F7">
      <w:pPr>
        <w:ind w:firstLine="709"/>
        <w:jc w:val="both"/>
      </w:pPr>
    </w:p>
    <w:p w14:paraId="0FB7D684" w14:textId="77777777" w:rsidR="007F5395" w:rsidRDefault="006004F7">
      <w:pPr>
        <w:jc w:val="both"/>
      </w:pPr>
      <w:r>
        <w:t>22 июля  2019 года</w:t>
      </w:r>
    </w:p>
    <w:p w14:paraId="1AAD3456" w14:textId="77777777" w:rsidR="007F5395" w:rsidRDefault="006004F7">
      <w:pPr>
        <w:ind w:firstLine="709"/>
        <w:jc w:val="both"/>
      </w:pPr>
    </w:p>
    <w:p w14:paraId="01BD8B6E" w14:textId="77777777" w:rsidR="007F5395" w:rsidRDefault="006004F7">
      <w:pPr>
        <w:jc w:val="both"/>
      </w:pPr>
      <w:r>
        <w:t>Судебная коллегия по гражданским делам Московского городского суда</w:t>
      </w:r>
    </w:p>
    <w:p w14:paraId="5F9AB9AD" w14:textId="77777777" w:rsidR="007F5395" w:rsidRDefault="006004F7">
      <w:pPr>
        <w:jc w:val="both"/>
      </w:pPr>
      <w:r>
        <w:t xml:space="preserve">в составе председательствующего Пашкевич А.М. </w:t>
      </w:r>
    </w:p>
    <w:p w14:paraId="4DD1FCF6" w14:textId="77777777" w:rsidR="007F5395" w:rsidRDefault="006004F7">
      <w:pPr>
        <w:jc w:val="both"/>
      </w:pPr>
      <w:r>
        <w:t>и судей Леоновой С.В. и  Исюк И.В.,</w:t>
      </w:r>
    </w:p>
    <w:p w14:paraId="0BE2556B" w14:textId="77777777" w:rsidR="007F5395" w:rsidRDefault="006004F7">
      <w:pPr>
        <w:jc w:val="both"/>
      </w:pPr>
      <w:r>
        <w:t>при секретаре Туркиной А.Г.</w:t>
      </w:r>
    </w:p>
    <w:p w14:paraId="04F39A81" w14:textId="77777777" w:rsidR="007F5395" w:rsidRDefault="006004F7">
      <w:pPr>
        <w:jc w:val="both"/>
      </w:pPr>
      <w:r>
        <w:t>рассмотрев  в открытом судебном заседании по докладу судьи Леоновой С.В.</w:t>
      </w:r>
    </w:p>
    <w:p w14:paraId="107AF5EC" w14:textId="77777777" w:rsidR="007F5395" w:rsidRDefault="006004F7">
      <w:pPr>
        <w:jc w:val="both"/>
      </w:pPr>
      <w:r>
        <w:t xml:space="preserve">гражданское дело по апелляционной жалобе </w:t>
      </w:r>
      <w:r>
        <w:rPr>
          <w:rStyle w:val="cat-FIOgrp-30rplc-7"/>
        </w:rPr>
        <w:t>фио</w:t>
      </w:r>
      <w:r>
        <w:t xml:space="preserve">  на решение Троицкого    ра</w:t>
      </w:r>
      <w:r>
        <w:t xml:space="preserve">йонного суда г. Москвы от 25 марта 2019  г., которым постановлено:  </w:t>
      </w:r>
    </w:p>
    <w:p w14:paraId="583914E8" w14:textId="77777777" w:rsidR="007F5395" w:rsidRDefault="006004F7">
      <w:pPr>
        <w:ind w:firstLine="567"/>
        <w:jc w:val="both"/>
      </w:pPr>
      <w:r>
        <w:rPr>
          <w:b/>
          <w:bCs/>
        </w:rPr>
        <w:t xml:space="preserve">   </w:t>
      </w:r>
      <w:r>
        <w:t xml:space="preserve">Исковые требования </w:t>
      </w:r>
      <w:r>
        <w:rPr>
          <w:rStyle w:val="cat-FIOgrp-32rplc-10"/>
        </w:rPr>
        <w:t>фио</w:t>
      </w:r>
      <w:r>
        <w:t xml:space="preserve"> и встречные исковые требования </w:t>
      </w:r>
      <w:r>
        <w:rPr>
          <w:rStyle w:val="cat-FIOgrp-31rplc-11"/>
        </w:rPr>
        <w:t>фио</w:t>
      </w:r>
      <w:r>
        <w:t xml:space="preserve"> – удовлетворить частично.</w:t>
      </w:r>
    </w:p>
    <w:p w14:paraId="20E3EEA3" w14:textId="77777777" w:rsidR="007F5395" w:rsidRDefault="006004F7">
      <w:pPr>
        <w:ind w:firstLine="567"/>
        <w:jc w:val="both"/>
      </w:pPr>
      <w:r>
        <w:t>Признать реестровой ошибкой внесенные в Единый государственный реестр недвижимости, сведения о место</w:t>
      </w:r>
      <w:r>
        <w:t>положении границ земельного участка с кадастровым номером 50:27:0030411:85.</w:t>
      </w:r>
    </w:p>
    <w:p w14:paraId="63469B56" w14:textId="77777777" w:rsidR="007F5395" w:rsidRDefault="006004F7">
      <w:pPr>
        <w:ind w:firstLine="567"/>
        <w:jc w:val="both"/>
      </w:pPr>
      <w:r>
        <w:t>Внести изменения в сведения, содержащиеся в Едином государственном реестр недвижимости, о местоположении границ земельного участка с кадастровым номером 50:27:0030411:85 расположен</w:t>
      </w:r>
      <w:r>
        <w:t xml:space="preserve">ного по адресу: г.Москва, </w:t>
      </w:r>
      <w:r>
        <w:rPr>
          <w:rStyle w:val="cat-Addressgrp-1rplc-13"/>
        </w:rPr>
        <w:t>адрес</w:t>
      </w:r>
      <w:r>
        <w:t xml:space="preserve">, вблизи </w:t>
      </w:r>
      <w:r>
        <w:rPr>
          <w:rStyle w:val="cat-Addressgrp-2rplc-14"/>
        </w:rPr>
        <w:t>адрес</w:t>
      </w:r>
      <w:r>
        <w:t xml:space="preserve">, </w:t>
      </w:r>
      <w:r>
        <w:rPr>
          <w:rStyle w:val="cat-OrganizationNamegrp-56rplc-15"/>
        </w:rPr>
        <w:t>наименование организации</w:t>
      </w:r>
      <w:r>
        <w:t>, уч.37, площадью 508 кв.м., категория земель – земли населенных пунктов, разрешенное использования – для садоводства, согласно схеме 5 экспертного заключения:</w:t>
      </w:r>
    </w:p>
    <w:p w14:paraId="26C20DF5" w14:textId="77777777" w:rsidR="007F5395" w:rsidRDefault="006004F7">
      <w:pPr>
        <w:ind w:firstLine="567"/>
        <w:jc w:val="both"/>
      </w:pPr>
    </w:p>
    <w:p w14:paraId="7D9E3010" w14:textId="77777777" w:rsidR="007F5395" w:rsidRDefault="006004F7">
      <w:pPr>
        <w:ind w:firstLine="567"/>
        <w:jc w:val="both"/>
      </w:pPr>
    </w:p>
    <w:tbl>
      <w:tblPr>
        <w:tblW w:w="9379" w:type="dxa"/>
        <w:tblInd w:w="1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753"/>
        <w:gridCol w:w="1730"/>
        <w:gridCol w:w="1619"/>
        <w:gridCol w:w="2005"/>
      </w:tblGrid>
      <w:tr w:rsidR="00A03889" w14:paraId="2D256A4F" w14:textId="77777777">
        <w:trPr>
          <w:trHeight w:val="300"/>
        </w:trPr>
        <w:tc>
          <w:tcPr>
            <w:tcW w:w="1507" w:type="dxa"/>
            <w:vMerge w:val="restart"/>
            <w:tcBorders>
              <w:bottom w:val="single" w:sz="6" w:space="0" w:color="000000"/>
              <w:right w:val="doub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8A6E1A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характерных</w:t>
            </w:r>
            <w:r>
              <w:rPr>
                <w:color w:val="000000"/>
              </w:rPr>
              <w:t xml:space="preserve"> точек границ</w:t>
            </w:r>
          </w:p>
        </w:tc>
        <w:tc>
          <w:tcPr>
            <w:tcW w:w="4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752AB53A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Координаты, м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7766D0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Расстояние, м</w:t>
            </w:r>
          </w:p>
        </w:tc>
        <w:tc>
          <w:tcPr>
            <w:tcW w:w="210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AFED0A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Дирекционный угол</w:t>
            </w:r>
          </w:p>
        </w:tc>
      </w:tr>
      <w:tr w:rsidR="00A03889" w14:paraId="5126F181" w14:textId="77777777">
        <w:trPr>
          <w:trHeight w:val="495"/>
        </w:trPr>
        <w:tc>
          <w:tcPr>
            <w:tcW w:w="0" w:type="auto"/>
            <w:vMerge/>
            <w:tcBorders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F6C22BB" w14:textId="77777777" w:rsidR="007F5395" w:rsidRDefault="006004F7">
            <w:pPr>
              <w:rPr>
                <w:color w:val="000000"/>
              </w:rPr>
            </w:pP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27D2518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604D64B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ED84" w14:textId="77777777" w:rsidR="007F5395" w:rsidRDefault="006004F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AD9481" w14:textId="77777777" w:rsidR="007F5395" w:rsidRDefault="006004F7">
            <w:pPr>
              <w:rPr>
                <w:color w:val="000000"/>
              </w:rPr>
            </w:pPr>
          </w:p>
        </w:tc>
      </w:tr>
      <w:tr w:rsidR="00A03889" w14:paraId="177D71A7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E0BB72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027D61F5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-31247.72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1F2395E0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-15947.19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33969C0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17.79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C9ABE25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147° 51' 10"</w:t>
            </w:r>
          </w:p>
        </w:tc>
      </w:tr>
      <w:tr w:rsidR="00A03889" w14:paraId="46CF394C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27DCFD6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6F9B191C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-31262.78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C1F353E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-15937.73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44A5EEB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28.97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74283D93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235° 27' 12"</w:t>
            </w:r>
          </w:p>
        </w:tc>
      </w:tr>
      <w:tr w:rsidR="00A03889" w14:paraId="3FE10C35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D5ED0E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7F400C3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-31279.21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6CE080A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-15961.58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917413F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C2EF104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326° 14' 25"</w:t>
            </w:r>
          </w:p>
        </w:tc>
      </w:tr>
      <w:tr w:rsidR="00A03889" w14:paraId="15E35822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9E1A5B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765EB60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-31277.68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C03A54E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-15962.61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2E97C9A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725DDC8F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237° 10' 17"</w:t>
            </w:r>
          </w:p>
        </w:tc>
      </w:tr>
      <w:tr w:rsidR="00A03889" w14:paraId="775941E1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DB8BF55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390F572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-31277.88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B2500E4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-15962.92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59FE293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15.33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1C400A3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329° 45' 16"</w:t>
            </w:r>
          </w:p>
        </w:tc>
      </w:tr>
      <w:tr w:rsidR="00A03889" w14:paraId="49956553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415EAF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04DA227D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-31264.64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F69D0C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-15970.64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97A508E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28.68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4714CA0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54° 11' 35"</w:t>
            </w:r>
          </w:p>
        </w:tc>
      </w:tr>
      <w:tr w:rsidR="00A03889" w14:paraId="00341170" w14:textId="77777777">
        <w:trPr>
          <w:trHeight w:val="270"/>
        </w:trPr>
        <w:tc>
          <w:tcPr>
            <w:tcW w:w="1507" w:type="dxa"/>
            <w:tcBorders>
              <w:right w:val="double" w:sz="6" w:space="0" w:color="000000"/>
            </w:tcBorders>
            <w:tcMar>
              <w:top w:w="5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14:paraId="035CFAC5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5" w:type="dxa"/>
            <w:tcBorders>
              <w:right w:val="single" w:sz="6" w:space="0" w:color="000000"/>
            </w:tcBorders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210D1456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-31247.86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0DD1E6A3" w14:textId="77777777" w:rsidR="007F5395" w:rsidRDefault="006004F7">
            <w:pPr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- 15947.38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4889A1F4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2104" w:type="dxa"/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6316E3F5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53° 36' 56"</w:t>
            </w:r>
          </w:p>
        </w:tc>
      </w:tr>
    </w:tbl>
    <w:p w14:paraId="688DAA96" w14:textId="77777777" w:rsidR="007F5395" w:rsidRDefault="006004F7">
      <w:pPr>
        <w:ind w:firstLine="720"/>
        <w:jc w:val="both"/>
      </w:pPr>
    </w:p>
    <w:p w14:paraId="1DD61F7A" w14:textId="77777777" w:rsidR="007F5395" w:rsidRDefault="006004F7">
      <w:pPr>
        <w:ind w:firstLine="567"/>
        <w:jc w:val="both"/>
      </w:pPr>
      <w:r>
        <w:t xml:space="preserve">Установить границы земельного участка с кадастровым номером 50:27:0030411:24 расположенного по адресу: г.Москва, </w:t>
      </w:r>
      <w:r>
        <w:rPr>
          <w:rStyle w:val="cat-Addressgrp-1rplc-17"/>
        </w:rPr>
        <w:t>адрес</w:t>
      </w:r>
      <w:r>
        <w:t xml:space="preserve">, вблизи </w:t>
      </w:r>
      <w:r>
        <w:rPr>
          <w:rStyle w:val="cat-Addressgrp-2rplc-18"/>
        </w:rPr>
        <w:t>адрес</w:t>
      </w:r>
      <w:r>
        <w:t xml:space="preserve">, </w:t>
      </w:r>
      <w:r>
        <w:rPr>
          <w:rStyle w:val="cat-OrganizationNamegrp-56rplc-19"/>
        </w:rPr>
        <w:t>наименование организации</w:t>
      </w:r>
      <w:r>
        <w:t>, площадью 502 кв.м., категория земель – земли населенных пунктов, разрешенное использования – для</w:t>
      </w:r>
      <w:r>
        <w:t xml:space="preserve"> садоводства,  согласно схеме 5 экспертного заключения:</w:t>
      </w:r>
    </w:p>
    <w:p w14:paraId="3A824B29" w14:textId="77777777" w:rsidR="007F5395" w:rsidRDefault="006004F7">
      <w:pPr>
        <w:ind w:firstLine="567"/>
        <w:jc w:val="both"/>
      </w:pPr>
    </w:p>
    <w:tbl>
      <w:tblPr>
        <w:tblW w:w="9379" w:type="dxa"/>
        <w:tblInd w:w="1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230"/>
        <w:gridCol w:w="1234"/>
        <w:gridCol w:w="2148"/>
        <w:gridCol w:w="2495"/>
      </w:tblGrid>
      <w:tr w:rsidR="00A03889" w14:paraId="529F076D" w14:textId="77777777">
        <w:trPr>
          <w:trHeight w:val="300"/>
        </w:trPr>
        <w:tc>
          <w:tcPr>
            <w:tcW w:w="1507" w:type="dxa"/>
            <w:vMerge w:val="restart"/>
            <w:tcBorders>
              <w:bottom w:val="single" w:sz="6" w:space="0" w:color="000000"/>
              <w:right w:val="doub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38A3472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характерных точек границ</w:t>
            </w:r>
          </w:p>
        </w:tc>
        <w:tc>
          <w:tcPr>
            <w:tcW w:w="41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80AB70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Координаты, м</w:t>
            </w:r>
          </w:p>
        </w:tc>
        <w:tc>
          <w:tcPr>
            <w:tcW w:w="14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1B870B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Расстояние, м</w:t>
            </w:r>
          </w:p>
        </w:tc>
        <w:tc>
          <w:tcPr>
            <w:tcW w:w="224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187720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Дирекционный угол</w:t>
            </w:r>
          </w:p>
        </w:tc>
      </w:tr>
      <w:tr w:rsidR="00A03889" w14:paraId="1017372B" w14:textId="77777777">
        <w:trPr>
          <w:trHeight w:val="495"/>
        </w:trPr>
        <w:tc>
          <w:tcPr>
            <w:tcW w:w="0" w:type="auto"/>
            <w:vMerge/>
            <w:tcBorders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9ECC3BA" w14:textId="77777777" w:rsidR="007F5395" w:rsidRDefault="006004F7">
            <w:pPr>
              <w:rPr>
                <w:color w:val="000000"/>
              </w:rPr>
            </w:pP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B1D9C53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A02E94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38EE" w14:textId="77777777" w:rsidR="007F5395" w:rsidRDefault="006004F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583E5E4" w14:textId="77777777" w:rsidR="007F5395" w:rsidRDefault="006004F7">
            <w:pPr>
              <w:rPr>
                <w:color w:val="000000"/>
              </w:rPr>
            </w:pPr>
          </w:p>
        </w:tc>
      </w:tr>
      <w:tr w:rsidR="00A03889" w14:paraId="5D283908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AC3034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19C234F4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-31262.78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A7623FF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-15937.73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14FBFAF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17.42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B79727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148° 10' 27"</w:t>
            </w:r>
          </w:p>
        </w:tc>
      </w:tr>
      <w:tr w:rsidR="00A03889" w14:paraId="7E7F1D60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B20DBE5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66A0C0EC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-31277.58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0160AC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-15928.54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8A772F8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28.81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AF25A4D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235° 22' 40"</w:t>
            </w:r>
          </w:p>
        </w:tc>
      </w:tr>
      <w:tr w:rsidR="00A03889" w14:paraId="762220BA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96F12C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2AF0438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-31293.95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1F41AD17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-15952.25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59A0F8B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72530635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333° 26' 6"</w:t>
            </w:r>
          </w:p>
        </w:tc>
      </w:tr>
      <w:tr w:rsidR="00A03889" w14:paraId="3584A48A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4E7AFB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BD0A8F4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-31293.29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6EEE7433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-15952.58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4CECC761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16.27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2A9C202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327° 25' 24"</w:t>
            </w:r>
          </w:p>
        </w:tc>
      </w:tr>
      <w:tr w:rsidR="00A03889" w14:paraId="1ADD4E99" w14:textId="77777777">
        <w:trPr>
          <w:trHeight w:val="255"/>
        </w:trPr>
        <w:tc>
          <w:tcPr>
            <w:tcW w:w="1507" w:type="dxa"/>
            <w:tcBorders>
              <w:bottom w:val="single" w:sz="6" w:space="0" w:color="000000"/>
              <w:right w:val="double" w:sz="6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A9057E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B4497ED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-31279.58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5185412E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-15961.34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002252A3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3FC8F149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327° 1' 50"</w:t>
            </w:r>
          </w:p>
        </w:tc>
      </w:tr>
      <w:tr w:rsidR="00A03889" w14:paraId="4FB41616" w14:textId="77777777">
        <w:trPr>
          <w:trHeight w:val="270"/>
        </w:trPr>
        <w:tc>
          <w:tcPr>
            <w:tcW w:w="1507" w:type="dxa"/>
            <w:tcBorders>
              <w:right w:val="double" w:sz="6" w:space="0" w:color="000000"/>
            </w:tcBorders>
            <w:tcMar>
              <w:top w:w="5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14:paraId="371CF39D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5" w:type="dxa"/>
            <w:tcBorders>
              <w:right w:val="single" w:sz="6" w:space="0" w:color="000000"/>
            </w:tcBorders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6CBA9211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-31279.21</w:t>
            </w:r>
          </w:p>
        </w:tc>
        <w:tc>
          <w:tcPr>
            <w:tcW w:w="2116" w:type="dxa"/>
            <w:tcBorders>
              <w:right w:val="single" w:sz="6" w:space="0" w:color="000000"/>
            </w:tcBorders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4C8293AE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-15961.58</w:t>
            </w:r>
          </w:p>
        </w:tc>
        <w:tc>
          <w:tcPr>
            <w:tcW w:w="1428" w:type="dxa"/>
            <w:tcBorders>
              <w:right w:val="single" w:sz="6" w:space="0" w:color="000000"/>
            </w:tcBorders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48685DA4" w14:textId="77777777" w:rsidR="007F5395" w:rsidRDefault="00600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28.97</w:t>
            </w:r>
          </w:p>
        </w:tc>
        <w:tc>
          <w:tcPr>
            <w:tcW w:w="2246" w:type="dxa"/>
            <w:tcMar>
              <w:top w:w="5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14:paraId="66DD37D7" w14:textId="77777777" w:rsidR="007F5395" w:rsidRDefault="006004F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55° 26' 34"</w:t>
            </w:r>
          </w:p>
        </w:tc>
      </w:tr>
    </w:tbl>
    <w:p w14:paraId="4AC021CF" w14:textId="77777777" w:rsidR="007F5395" w:rsidRDefault="006004F7">
      <w:pPr>
        <w:ind w:firstLine="720"/>
        <w:jc w:val="both"/>
      </w:pPr>
    </w:p>
    <w:p w14:paraId="47DDD78B" w14:textId="77777777" w:rsidR="007F5395" w:rsidRDefault="006004F7">
      <w:pPr>
        <w:ind w:firstLine="567"/>
        <w:jc w:val="both"/>
      </w:pPr>
      <w:r>
        <w:t xml:space="preserve">Взыскать со </w:t>
      </w:r>
      <w:r>
        <w:rPr>
          <w:rStyle w:val="cat-FIOgrp-31rplc-20"/>
        </w:rPr>
        <w:t>фио</w:t>
      </w:r>
      <w:r>
        <w:t xml:space="preserve"> в пользу </w:t>
      </w:r>
      <w:r>
        <w:rPr>
          <w:rStyle w:val="cat-FIOgrp-32rplc-21"/>
        </w:rPr>
        <w:t>фио</w:t>
      </w:r>
      <w:r>
        <w:t xml:space="preserve"> судебные расходы по уплате госпошлины в размере 1200 рублей.</w:t>
      </w:r>
    </w:p>
    <w:p w14:paraId="24A2C511" w14:textId="77777777" w:rsidR="007F5395" w:rsidRDefault="006004F7">
      <w:pPr>
        <w:ind w:firstLine="567"/>
        <w:jc w:val="both"/>
      </w:pPr>
      <w:r>
        <w:t xml:space="preserve">Обязать </w:t>
      </w:r>
      <w:r>
        <w:rPr>
          <w:rStyle w:val="cat-FIOgrp-33rplc-23"/>
        </w:rPr>
        <w:t>фио</w:t>
      </w:r>
      <w:r>
        <w:t xml:space="preserve"> передвинуть забор, установленный между земельными участками с кадастровыми номерами 50:27:0030411:85 и 50:27:0030411:24 согласно границе, установленной судебным экспертным заключение</w:t>
      </w:r>
      <w:r>
        <w:t>м по схеме 5 в месячный срок со дня вступления решения суда по настоящему гражданскому делу в законную силу.</w:t>
      </w:r>
    </w:p>
    <w:p w14:paraId="136EE14A" w14:textId="77777777" w:rsidR="007F5395" w:rsidRDefault="006004F7">
      <w:pPr>
        <w:ind w:firstLine="708"/>
        <w:jc w:val="both"/>
      </w:pPr>
      <w:r>
        <w:t>Разъяснить, что данное решение является для Управления Росреестра по Москве основанием для внесения соответствующих изменений в реестровые записи о</w:t>
      </w:r>
      <w:r>
        <w:t xml:space="preserve"> земельных участках с кадастровым номером 50:27:0030411:85 и с кадастровым номером 50:27:0030411:24.</w:t>
      </w:r>
    </w:p>
    <w:p w14:paraId="1FC58BA2" w14:textId="77777777" w:rsidR="007F5395" w:rsidRDefault="006004F7">
      <w:pPr>
        <w:ind w:firstLine="708"/>
        <w:jc w:val="both"/>
      </w:pPr>
      <w:r>
        <w:t xml:space="preserve"> В удовлетворении остальной части исковых требований и встречных исковых требований – отказать.</w:t>
      </w:r>
    </w:p>
    <w:p w14:paraId="788A7EB8" w14:textId="77777777" w:rsidR="007F5395" w:rsidRDefault="006004F7">
      <w:pPr>
        <w:ind w:firstLine="709"/>
        <w:jc w:val="both"/>
      </w:pPr>
      <w:r>
        <w:rPr>
          <w:b/>
          <w:bCs/>
        </w:rPr>
        <w:t> </w:t>
      </w:r>
    </w:p>
    <w:p w14:paraId="742C53E0" w14:textId="77777777" w:rsidR="007F5395" w:rsidRDefault="006004F7">
      <w:pPr>
        <w:ind w:firstLine="709"/>
        <w:jc w:val="center"/>
      </w:pPr>
      <w:r>
        <w:rPr>
          <w:b/>
          <w:bCs/>
        </w:rPr>
        <w:t xml:space="preserve">УСТАНОВИЛА:  </w:t>
      </w:r>
    </w:p>
    <w:p w14:paraId="639A9C1A" w14:textId="77777777" w:rsidR="007F5395" w:rsidRDefault="006004F7">
      <w:pPr>
        <w:ind w:firstLine="709"/>
        <w:jc w:val="center"/>
      </w:pPr>
    </w:p>
    <w:p w14:paraId="3D6388A8" w14:textId="77777777" w:rsidR="007F5395" w:rsidRDefault="006004F7">
      <w:pPr>
        <w:ind w:firstLine="567"/>
        <w:jc w:val="both"/>
      </w:pPr>
      <w:r>
        <w:rPr>
          <w:rStyle w:val="cat-FIOgrp-34rplc-24"/>
        </w:rPr>
        <w:t>фио</w:t>
      </w:r>
      <w:r>
        <w:t xml:space="preserve"> обратился в суд с иском, с учетом уточ</w:t>
      </w:r>
      <w:r>
        <w:t xml:space="preserve">нения требований, к </w:t>
      </w:r>
      <w:r>
        <w:rPr>
          <w:rStyle w:val="cat-FIOgrp-30rplc-25"/>
        </w:rPr>
        <w:t>фио</w:t>
      </w:r>
      <w:r>
        <w:t xml:space="preserve">, </w:t>
      </w:r>
      <w:r>
        <w:rPr>
          <w:rStyle w:val="cat-FIOgrp-35rplc-26"/>
        </w:rPr>
        <w:t>фио</w:t>
      </w:r>
      <w:r>
        <w:t xml:space="preserve">, </w:t>
      </w:r>
      <w:r>
        <w:rPr>
          <w:rStyle w:val="cat-FIOgrp-36rplc-27"/>
        </w:rPr>
        <w:t>фио</w:t>
      </w:r>
      <w:r>
        <w:t xml:space="preserve"> о признании межевого плана недействительным, установлении реестровой ошибки, исключении сведений о земельном участке из ЕГРН, исправлении реестровой ошибки, установлении границ земельных участков по схеме 5 экспертного зак</w:t>
      </w:r>
      <w:r>
        <w:t xml:space="preserve">лючения, внесении сведений в ЕГРН, мотивируя заявленные требования  тем, что  он  является собственником земельного участка с кадастровым номером 50:27:0030411:24 общей площадью 513 кв.м., расположенного по адресу: г. Москва, вблизи </w:t>
      </w:r>
      <w:r>
        <w:rPr>
          <w:rStyle w:val="cat-Addressgrp-2rplc-29"/>
        </w:rPr>
        <w:t>адрес</w:t>
      </w:r>
      <w:r>
        <w:t xml:space="preserve">, Краснопахорской </w:t>
      </w:r>
      <w:r>
        <w:t xml:space="preserve">администрации, </w:t>
      </w:r>
      <w:r>
        <w:rPr>
          <w:rStyle w:val="cat-OrganizationNamegrp-57rplc-30"/>
        </w:rPr>
        <w:t>наименование организации</w:t>
      </w:r>
      <w:r>
        <w:t>, на основании договора купли-продажи. Участок освоен, ведется строительство. Тогда как в ходе проведенных кадастровых работ, выяснилось, что собственником смежного земельного участка с кадастровым номером 50:27:00304</w:t>
      </w:r>
      <w:r>
        <w:t xml:space="preserve">11:85 - </w:t>
      </w:r>
      <w:r>
        <w:rPr>
          <w:rStyle w:val="cat-FIOgrp-30rplc-31"/>
        </w:rPr>
        <w:t>фио</w:t>
      </w:r>
      <w:r>
        <w:t xml:space="preserve">, произведен захват части участка, принадлежащего </w:t>
      </w:r>
      <w:r>
        <w:rPr>
          <w:rStyle w:val="cat-FIOgrp-37rplc-32"/>
        </w:rPr>
        <w:t>фио</w:t>
      </w:r>
      <w:r>
        <w:t xml:space="preserve"> площадью 51 кв.м., уточнить границы и внести сведения о достоверных границах земельного участка с кадастровым номером 50:27:0030411:24 невозможно, поскольку в ЕГРН содержатся недостоверные св</w:t>
      </w:r>
      <w:r>
        <w:t xml:space="preserve">едения о смежной границе земельных участков с кадастровыми номерами 50:27:0030411:24 и 50:27:0030411:85. Общая граница </w:t>
      </w:r>
      <w:r>
        <w:rPr>
          <w:rStyle w:val="cat-FIOgrp-37rplc-33"/>
        </w:rPr>
        <w:t>фио</w:t>
      </w:r>
      <w:r>
        <w:t xml:space="preserve"> не согласовывалась, подпись в акте согласования не ставилась, об изменении границ участка с кадастровым номером 50:27:0030411:85 </w:t>
      </w:r>
      <w:r>
        <w:rPr>
          <w:rStyle w:val="cat-FIOgrp-37rplc-34"/>
        </w:rPr>
        <w:t>фио</w:t>
      </w:r>
      <w:r>
        <w:t xml:space="preserve"> </w:t>
      </w:r>
      <w:r>
        <w:t xml:space="preserve">стало известно в августе 2017 года от кадастрового инженера. </w:t>
      </w:r>
    </w:p>
    <w:p w14:paraId="2E7E6E7F" w14:textId="77777777" w:rsidR="007F5395" w:rsidRDefault="006004F7">
      <w:pPr>
        <w:ind w:firstLine="567"/>
        <w:jc w:val="both"/>
      </w:pPr>
      <w:r>
        <w:rPr>
          <w:rStyle w:val="cat-FIOgrp-38rplc-36"/>
        </w:rPr>
        <w:t>фио</w:t>
      </w:r>
      <w:r>
        <w:t xml:space="preserve"> предъявила встречный иск к </w:t>
      </w:r>
      <w:r>
        <w:rPr>
          <w:rStyle w:val="cat-FIOgrp-39rplc-37"/>
        </w:rPr>
        <w:t>фио</w:t>
      </w:r>
      <w:r>
        <w:t xml:space="preserve">, </w:t>
      </w:r>
      <w:r>
        <w:rPr>
          <w:rStyle w:val="cat-FIOgrp-40rplc-38"/>
        </w:rPr>
        <w:t>фио</w:t>
      </w:r>
      <w:r>
        <w:t xml:space="preserve">, </w:t>
      </w:r>
      <w:r>
        <w:rPr>
          <w:rStyle w:val="cat-FIOgrp-41rplc-39"/>
        </w:rPr>
        <w:t>фио</w:t>
      </w:r>
      <w:r>
        <w:t xml:space="preserve">, </w:t>
      </w:r>
      <w:r>
        <w:rPr>
          <w:rStyle w:val="cat-FIOgrp-42rplc-40"/>
        </w:rPr>
        <w:t>фио</w:t>
      </w:r>
      <w:r>
        <w:t xml:space="preserve">, </w:t>
      </w:r>
      <w:r>
        <w:rPr>
          <w:rStyle w:val="cat-OrganizationNamegrp-57rplc-41"/>
        </w:rPr>
        <w:t>наименование организации</w:t>
      </w:r>
      <w:r>
        <w:t xml:space="preserve"> об аннулировании  сведений о границах земельного участка с кадастровым номером 50:27:0030411:85 и определении  границ </w:t>
      </w:r>
      <w:r>
        <w:t>указанного участка в соответствии со сложившимся порядком пользования и правоустанавливающими документа. Заявленные требования мотивированы тем, что она является собственником земельного участка с кадастровым номером 50:27:0030411:85 общей площадью 520 кв.</w:t>
      </w:r>
      <w:r>
        <w:t xml:space="preserve">м., расположенного по адресу: </w:t>
      </w:r>
      <w:r>
        <w:rPr>
          <w:rStyle w:val="cat-Addressgrp-3rplc-42"/>
        </w:rPr>
        <w:t>адрес</w:t>
      </w:r>
      <w:r>
        <w:t xml:space="preserve">, вблизи </w:t>
      </w:r>
      <w:r>
        <w:rPr>
          <w:rStyle w:val="cat-Addressgrp-2rplc-43"/>
        </w:rPr>
        <w:t>адрес</w:t>
      </w:r>
      <w:r>
        <w:t xml:space="preserve">, </w:t>
      </w:r>
      <w:r>
        <w:rPr>
          <w:rStyle w:val="cat-OrganizationNamegrp-57rplc-44"/>
        </w:rPr>
        <w:t>наименование организации</w:t>
      </w:r>
      <w:r>
        <w:t>, участок №38, границы участка установлены. При постановке на кадастровый учет земельного участка с кадастровым номером 50:27:0030411:85 допущена реестровая ошибка, границы земельно</w:t>
      </w:r>
      <w:r>
        <w:t xml:space="preserve">го </w:t>
      </w:r>
      <w:r>
        <w:rPr>
          <w:rStyle w:val="cat-Addressgrp-4rplc-45"/>
        </w:rPr>
        <w:t>адрес</w:t>
      </w:r>
      <w:r>
        <w:t xml:space="preserve"> определены </w:t>
      </w:r>
      <w:r>
        <w:lastRenderedPageBreak/>
        <w:t>неправильно и имеется наложение на фактические границы земельного участка с кадастровым номером 50:27:0030411:24.</w:t>
      </w:r>
    </w:p>
    <w:p w14:paraId="4361D355" w14:textId="77777777" w:rsidR="007F5395" w:rsidRDefault="006004F7">
      <w:pPr>
        <w:ind w:firstLine="567"/>
        <w:jc w:val="both"/>
      </w:pPr>
      <w:r>
        <w:t xml:space="preserve">Истец по основному иску (ответчик по встречному иску) </w:t>
      </w:r>
      <w:r>
        <w:rPr>
          <w:rStyle w:val="cat-FIOgrp-34rplc-46"/>
        </w:rPr>
        <w:t>фио</w:t>
      </w:r>
      <w:r>
        <w:t xml:space="preserve">  и его представитель </w:t>
      </w:r>
      <w:r>
        <w:rPr>
          <w:rStyle w:val="cat-FIOgrp-43rplc-47"/>
        </w:rPr>
        <w:t>фио</w:t>
      </w:r>
      <w:r>
        <w:t>, в судебное заседание суда первой инста</w:t>
      </w:r>
      <w:r>
        <w:t xml:space="preserve">нции  явились, уточненные основные исковые требования поддержали в полном объеме по доводам и основания, указанным в иске, в удовлетворении встречного иска просили отказать, указав, что </w:t>
      </w:r>
      <w:r>
        <w:rPr>
          <w:rStyle w:val="cat-FIOgrp-30rplc-48"/>
        </w:rPr>
        <w:t>фио</w:t>
      </w:r>
      <w:r>
        <w:t xml:space="preserve"> не представлено доказательств на новую площадь в размере 550 кв.м.</w:t>
      </w:r>
      <w:r>
        <w:t>, избраны ненадлежащие способы защиты права.</w:t>
      </w:r>
    </w:p>
    <w:p w14:paraId="1AF52B83" w14:textId="77777777" w:rsidR="007F5395" w:rsidRDefault="006004F7">
      <w:pPr>
        <w:ind w:firstLine="567"/>
        <w:jc w:val="both"/>
      </w:pPr>
      <w:r>
        <w:t xml:space="preserve">Ответчик по основному иску (истец по встречному иску), </w:t>
      </w:r>
      <w:r>
        <w:rPr>
          <w:rStyle w:val="cat-FIOgrp-38rplc-49"/>
        </w:rPr>
        <w:t>фио</w:t>
      </w:r>
      <w:r>
        <w:t>, ее представитель в судебное заседание суда первой инстанции  явились, встречные исковые требования поддержали в полном объеме.</w:t>
      </w:r>
    </w:p>
    <w:p w14:paraId="4A930CF1" w14:textId="77777777" w:rsidR="007F5395" w:rsidRDefault="006004F7">
      <w:pPr>
        <w:ind w:firstLine="567"/>
        <w:jc w:val="both"/>
      </w:pPr>
      <w:r>
        <w:t xml:space="preserve">Ответчик </w:t>
      </w:r>
      <w:r>
        <w:rPr>
          <w:rStyle w:val="cat-FIOgrp-35rplc-50"/>
        </w:rPr>
        <w:t>фио</w:t>
      </w:r>
      <w:r>
        <w:t>, в судебное</w:t>
      </w:r>
      <w:r>
        <w:t xml:space="preserve"> заседание суда первой инстанции  не явился, о дне, времени и  месте рассмотрения дела извещена надлежащим образом.</w:t>
      </w:r>
    </w:p>
    <w:p w14:paraId="066456EA" w14:textId="77777777" w:rsidR="007F5395" w:rsidRDefault="006004F7">
      <w:pPr>
        <w:ind w:firstLine="567"/>
        <w:jc w:val="both"/>
      </w:pPr>
      <w:r>
        <w:t xml:space="preserve">Ответчик </w:t>
      </w:r>
      <w:r>
        <w:rPr>
          <w:rStyle w:val="cat-FIOgrp-36rplc-51"/>
        </w:rPr>
        <w:t>фио</w:t>
      </w:r>
      <w:r>
        <w:t>, в судебное заседание суда первой инстанции  не явилась, о дне, времени и  месте рассмотрения дела извещена надлежащим образом,</w:t>
      </w:r>
      <w:r>
        <w:t xml:space="preserve"> в письменном заявлении просила рассмотреть дело в ее отсутствие,  рассмотрение требований оставила на усмотрение суда.</w:t>
      </w:r>
    </w:p>
    <w:p w14:paraId="52670EEC" w14:textId="77777777" w:rsidR="007F5395" w:rsidRDefault="006004F7">
      <w:pPr>
        <w:ind w:firstLine="567"/>
        <w:jc w:val="both"/>
      </w:pPr>
      <w:r>
        <w:t xml:space="preserve">Ответчик </w:t>
      </w:r>
      <w:r>
        <w:rPr>
          <w:rStyle w:val="cat-FIOgrp-41rplc-52"/>
        </w:rPr>
        <w:t>фио</w:t>
      </w:r>
      <w:r>
        <w:t>, в судебное заседание суда первой инстанции  не явилась, о дне, времени и  месте рассмотрения дела извещена надлежащим обра</w:t>
      </w:r>
      <w:r>
        <w:t>зом.</w:t>
      </w:r>
    </w:p>
    <w:p w14:paraId="56B44B40" w14:textId="77777777" w:rsidR="007F5395" w:rsidRDefault="006004F7">
      <w:pPr>
        <w:ind w:firstLine="567"/>
        <w:jc w:val="both"/>
      </w:pPr>
      <w:r>
        <w:t xml:space="preserve">Ответчик </w:t>
      </w:r>
      <w:r>
        <w:rPr>
          <w:rStyle w:val="cat-FIOgrp-42rplc-53"/>
        </w:rPr>
        <w:t>фио</w:t>
      </w:r>
      <w:r>
        <w:t xml:space="preserve"> в судебное заседание суда первой инстанции  явилась, рассмотрение требований оставила на усмотрение суда.</w:t>
      </w:r>
    </w:p>
    <w:p w14:paraId="5DB7B615" w14:textId="77777777" w:rsidR="007F5395" w:rsidRDefault="006004F7">
      <w:pPr>
        <w:ind w:firstLine="567"/>
        <w:jc w:val="both"/>
      </w:pPr>
      <w:r>
        <w:t xml:space="preserve">Ответчик </w:t>
      </w:r>
      <w:r>
        <w:rPr>
          <w:rStyle w:val="cat-FIOgrp-44rplc-54"/>
        </w:rPr>
        <w:t>фио</w:t>
      </w:r>
      <w:r>
        <w:t>, в судебное заседание суда первой инстанции  не явилась, о дне, времени и  месте рассмотрения дела из</w:t>
      </w:r>
      <w:r>
        <w:t xml:space="preserve">вещена надлежащим образом, ее представитель, </w:t>
      </w:r>
      <w:r>
        <w:rPr>
          <w:rStyle w:val="cat-FIOgrp-43rplc-55"/>
        </w:rPr>
        <w:t>фио</w:t>
      </w:r>
      <w:r>
        <w:t>, в судебное заседание  явился.</w:t>
      </w:r>
    </w:p>
    <w:p w14:paraId="6BD129AE" w14:textId="77777777" w:rsidR="007F5395" w:rsidRDefault="006004F7">
      <w:pPr>
        <w:ind w:firstLine="567"/>
        <w:jc w:val="both"/>
      </w:pPr>
      <w:r>
        <w:t xml:space="preserve">Представитель ответчика </w:t>
      </w:r>
      <w:r>
        <w:rPr>
          <w:rStyle w:val="cat-OrganizationNamegrp-57rplc-56"/>
        </w:rPr>
        <w:t>наименование организации</w:t>
      </w:r>
      <w:r>
        <w:t xml:space="preserve"> в судебное заседание суда первой инстанции  не явился, о дне, времени и  месте рассмотрения дела извещен надлежащим образом.</w:t>
      </w:r>
    </w:p>
    <w:p w14:paraId="5238E12F" w14:textId="77777777" w:rsidR="007F5395" w:rsidRDefault="006004F7">
      <w:pPr>
        <w:ind w:firstLine="567"/>
        <w:jc w:val="both"/>
      </w:pPr>
      <w:r>
        <w:t>Тр</w:t>
      </w:r>
      <w:r>
        <w:t>етье лицо  ФГБУ ФКП Росреестра по Москве, Управление Росреестра по Москве в судебное заседание не явилось, о дне, времени и  месте рассмотрения дела извещено надлежащим образом.</w:t>
      </w:r>
    </w:p>
    <w:p w14:paraId="6B23B458" w14:textId="77777777" w:rsidR="007F5395" w:rsidRDefault="006004F7">
      <w:pPr>
        <w:ind w:firstLine="567"/>
        <w:jc w:val="both"/>
      </w:pPr>
      <w:r>
        <w:t xml:space="preserve">Судом постановлено указанное выше решение, об отмене которого просит ответчик </w:t>
      </w:r>
      <w:r>
        <w:t xml:space="preserve">по основному иску (истец по встречному иску), </w:t>
      </w:r>
      <w:r>
        <w:rPr>
          <w:rStyle w:val="cat-FIOgrp-38rplc-57"/>
        </w:rPr>
        <w:t>фио</w:t>
      </w:r>
      <w:r>
        <w:t xml:space="preserve"> в части установления границ земельных  участков  с кадастровыми номерами 50:27:0030411:24  и 50:27:0030411:85 согласно схеме 5 экспертного заключения, по доводам апелляционной жалобы.</w:t>
      </w:r>
    </w:p>
    <w:p w14:paraId="53CA7FDD" w14:textId="77777777" w:rsidR="007F5395" w:rsidRDefault="006004F7">
      <w:pPr>
        <w:ind w:firstLine="708"/>
        <w:jc w:val="both"/>
      </w:pPr>
      <w:r>
        <w:t>В судебное заседание с</w:t>
      </w:r>
      <w:r>
        <w:t xml:space="preserve">уда апелляционной инстанции ответчики </w:t>
      </w:r>
      <w:r>
        <w:rPr>
          <w:rStyle w:val="cat-FIOgrp-38rplc-58"/>
        </w:rPr>
        <w:t>фио</w:t>
      </w:r>
      <w:r>
        <w:t xml:space="preserve">, </w:t>
      </w:r>
      <w:r>
        <w:rPr>
          <w:rStyle w:val="cat-FIOgrp-35rplc-59"/>
        </w:rPr>
        <w:t>фио</w:t>
      </w:r>
      <w:r>
        <w:t xml:space="preserve">, </w:t>
      </w:r>
      <w:r>
        <w:rPr>
          <w:rStyle w:val="cat-FIOgrp-36rplc-60"/>
        </w:rPr>
        <w:t>фио</w:t>
      </w:r>
      <w:r>
        <w:t xml:space="preserve">, </w:t>
      </w:r>
      <w:r>
        <w:rPr>
          <w:rStyle w:val="cat-FIOgrp-34rplc-61"/>
        </w:rPr>
        <w:t>фио</w:t>
      </w:r>
      <w:r>
        <w:t xml:space="preserve">, </w:t>
      </w:r>
      <w:r>
        <w:rPr>
          <w:rStyle w:val="cat-FIOgrp-44rplc-62"/>
        </w:rPr>
        <w:t>фио</w:t>
      </w:r>
      <w:r>
        <w:t xml:space="preserve">, </w:t>
      </w:r>
      <w:r>
        <w:rPr>
          <w:rStyle w:val="cat-FIOgrp-41rplc-63"/>
        </w:rPr>
        <w:t>фио</w:t>
      </w:r>
      <w:r>
        <w:t xml:space="preserve">, </w:t>
      </w:r>
      <w:r>
        <w:rPr>
          <w:rStyle w:val="cat-FIOgrp-42rplc-64"/>
        </w:rPr>
        <w:t>фио</w:t>
      </w:r>
      <w:r>
        <w:t xml:space="preserve">, </w:t>
      </w:r>
      <w:r>
        <w:rPr>
          <w:rStyle w:val="cat-OrganizationNamegrp-57rplc-65"/>
        </w:rPr>
        <w:t>наименование организации</w:t>
      </w:r>
      <w:r>
        <w:t xml:space="preserve">   </w:t>
      </w:r>
      <w:r>
        <w:rPr>
          <w:rStyle w:val="cat-OrganizationNamegrp-57rplc-66"/>
        </w:rPr>
        <w:t>наименование организации</w:t>
      </w:r>
      <w:r>
        <w:t>, 3-е лицо ФГБУ ФКП Росреестра по Москве, Управление Росреестра по Москве не  явились, извещены, причины неявки не обосновали, ходат</w:t>
      </w:r>
      <w:r>
        <w:t>айств об отложении судебного разбирательства не заявляли, в связи с чем, судебная коллегия сочла возможным рассмотреть дело в их отсутствие по ст. ст. 167, 327 ГПК РФ.</w:t>
      </w:r>
    </w:p>
    <w:p w14:paraId="1A9830B5" w14:textId="77777777" w:rsidR="007F5395" w:rsidRDefault="006004F7">
      <w:pPr>
        <w:ind w:firstLine="709"/>
        <w:jc w:val="both"/>
      </w:pPr>
      <w:r>
        <w:t>В силу ч. 1 ст. 327.1 ГПК РФ, п. 24 Постановления Пленума Верховного Суда РФ от 19.06.20</w:t>
      </w:r>
      <w:r>
        <w:t>12 года № 13 «О применении судами норм гражданского процессуального законодательства, регламентирующих производство в суде апелляционной инстанции», суд апелляционной инстанции рассматривает дело в пределах доводов, изложенных в апелляционных жалобе, предс</w:t>
      </w:r>
      <w:r>
        <w:t>тавлении и возражениях относительно жалобы, представления.</w:t>
      </w:r>
    </w:p>
    <w:p w14:paraId="5B91470D" w14:textId="77777777" w:rsidR="007F5395" w:rsidRDefault="006004F7">
      <w:pPr>
        <w:ind w:firstLine="708"/>
        <w:jc w:val="both"/>
      </w:pPr>
      <w:r>
        <w:t xml:space="preserve">Проверив материалы дела, выслушав объяснения представителя истца  по основному иску (ответчик по встречному иску) </w:t>
      </w:r>
      <w:r>
        <w:rPr>
          <w:rStyle w:val="cat-FIOgrp-45rplc-68"/>
        </w:rPr>
        <w:t>фио</w:t>
      </w:r>
      <w:r>
        <w:t xml:space="preserve"> по доверенности  </w:t>
      </w:r>
      <w:r>
        <w:rPr>
          <w:rStyle w:val="cat-FIOgrp-46rplc-69"/>
        </w:rPr>
        <w:t>фио</w:t>
      </w:r>
      <w:r>
        <w:t>, обсудив доводы апелляционной жалобы, судебная коллегия не</w:t>
      </w:r>
      <w:r>
        <w:t xml:space="preserve"> находит оснований к отмене решения, постановленного в соответствии с требованиями закона и фактическими обстоятельствами по делу.</w:t>
      </w:r>
    </w:p>
    <w:p w14:paraId="6F5F9982" w14:textId="77777777" w:rsidR="007F5395" w:rsidRDefault="006004F7">
      <w:pPr>
        <w:ind w:firstLine="708"/>
        <w:jc w:val="both"/>
      </w:pPr>
      <w:r>
        <w:lastRenderedPageBreak/>
        <w:t>Согласно ст. ст. 11, 12 ГК РФ защита гражданских прав осуществляется путем признания права и восстановления положения, сущест</w:t>
      </w:r>
      <w:r>
        <w:t xml:space="preserve">вовавшего до нарушения права, и пресечения действий, нарушающих право или создающих угрозу его нарушения. </w:t>
      </w:r>
    </w:p>
    <w:p w14:paraId="4190FD9F" w14:textId="77777777" w:rsidR="007F5395" w:rsidRDefault="006004F7">
      <w:pPr>
        <w:ind w:firstLine="708"/>
        <w:jc w:val="both"/>
      </w:pPr>
      <w:r>
        <w:t>В соответствии с пунктом 1 статьи 15 Земельного кодекса Российской Федерации собственностью граждан и юридических лиц (частной собственностью) являют</w:t>
      </w:r>
      <w:r>
        <w:t>ся земельные участки, приобретенные гражданами и юридическими лицами по основаниям, предусмотренным законодательством Российской Федерации.</w:t>
      </w:r>
    </w:p>
    <w:p w14:paraId="725E9E17" w14:textId="77777777" w:rsidR="007F5395" w:rsidRDefault="006004F7">
      <w:pPr>
        <w:ind w:firstLine="708"/>
        <w:jc w:val="both"/>
      </w:pPr>
      <w:r>
        <w:t>В соответствии с п.7 ст.1 Федерального закона от 01.01.2017 N 218-ФЗ «О государственной регистрации недвижимости»  г</w:t>
      </w:r>
      <w:r>
        <w:t>осударственным кадастровым учетом недвижимого имущества является внесение в Единый государственный реестр недвижимости сведений о земельных участках, которые подтверждают существование такого объекта недвижимости с характеристиками, позволяющими определить</w:t>
      </w:r>
      <w:r>
        <w:t xml:space="preserve"> его в качестве индивидуально-определенной вещи, или подтверждают прекращение его существования, а также иных предусмотренных настоящим Федеральным законом сведений об объектах недвижимости (далее - государственный кадастровый учет) (в ред. Федерального за</w:t>
      </w:r>
      <w:r>
        <w:t>кона от 03.07.2016 N 315-ФЗ).</w:t>
      </w:r>
    </w:p>
    <w:p w14:paraId="32E3D6B0" w14:textId="77777777" w:rsidR="007F5395" w:rsidRDefault="006004F7">
      <w:pPr>
        <w:ind w:firstLine="708"/>
        <w:jc w:val="both"/>
      </w:pPr>
      <w:r>
        <w:t>Согласно ст.14 настоящего Федерального закона основаниями для осуществления государственного кадастрового учета и (или) государственной регистрации прав являются, в том числе договоры и другие сделки в отношении недвижимого имущества, совершенные в соответ</w:t>
      </w:r>
      <w:r>
        <w:t>ствии с законодательством, действовавшим в месте расположения недвижимого имущества на момент совершения сделки.</w:t>
      </w:r>
    </w:p>
    <w:p w14:paraId="69AFDB00" w14:textId="77777777" w:rsidR="007F5395" w:rsidRDefault="006004F7">
      <w:pPr>
        <w:ind w:firstLine="708"/>
        <w:jc w:val="both"/>
      </w:pPr>
      <w:r>
        <w:t>В соответствии со ст. 11.1 ЗК РФ земельным участком является часть земной поверхности, границы которой определены в соответствии с федеральными</w:t>
      </w:r>
      <w:r>
        <w:t xml:space="preserve"> законами.</w:t>
      </w:r>
    </w:p>
    <w:p w14:paraId="1A7190A1" w14:textId="77777777" w:rsidR="007F5395" w:rsidRDefault="006004F7">
      <w:pPr>
        <w:ind w:firstLine="708"/>
        <w:jc w:val="both"/>
      </w:pPr>
      <w:r>
        <w:t>В соответствии со ст.60 ЗК РФ нарушенное право на земельный участок подлежит восстановлению в случаях: признания судом недействительным акта исполнительного органа государственной власти или акта органа местного самоуправления, повлекших за собо</w:t>
      </w:r>
      <w:r>
        <w:t>й нарушение права на земельный участок; самовольного занятия земельного участка; в иных предусмотренных федеральными законами случаях</w:t>
      </w:r>
    </w:p>
    <w:p w14:paraId="11C62D1C" w14:textId="77777777" w:rsidR="007F5395" w:rsidRDefault="006004F7">
      <w:pPr>
        <w:ind w:firstLine="708"/>
        <w:jc w:val="both"/>
      </w:pPr>
      <w:r>
        <w:t>Действия, нарушающие права на землю граждан и юридических лиц или создающие угрозу их нарушения, могут быть пресечены путе</w:t>
      </w:r>
      <w:r>
        <w:t>м: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14:paraId="7ABD3C9F" w14:textId="77777777" w:rsidR="007F5395" w:rsidRDefault="006004F7">
      <w:pPr>
        <w:ind w:firstLine="708"/>
        <w:jc w:val="both"/>
      </w:pPr>
      <w:r>
        <w:t>В соответствии со ст.5 Федерального закона от 01.01.2017 № 218-ФЗ «О государственной регистрации недвижимости» кажд</w:t>
      </w:r>
      <w:r>
        <w:t>ый объект недвижимости, сведения о котором внесены в Единый государственный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прав.</w:t>
      </w:r>
    </w:p>
    <w:p w14:paraId="48CB9B78" w14:textId="77777777" w:rsidR="007F5395" w:rsidRDefault="006004F7">
      <w:pPr>
        <w:ind w:firstLine="708"/>
        <w:jc w:val="both"/>
      </w:pPr>
      <w:r>
        <w:t>Каждая запись о</w:t>
      </w:r>
      <w:r>
        <w:t xml:space="preserve"> праве на объект недвижимости, сведения о котором внесены в Единый государственный реестр недвижимости, об ограничении права или обременении объекта недвижимости идентифицируется неизменяемым, не повторяющимся во времени и на территории Российской Федераци</w:t>
      </w:r>
      <w:r>
        <w:t>и номером регистрации.</w:t>
      </w:r>
    </w:p>
    <w:p w14:paraId="4618203D" w14:textId="77777777" w:rsidR="007F5395" w:rsidRDefault="006004F7">
      <w:pPr>
        <w:ind w:firstLine="708"/>
        <w:jc w:val="both"/>
      </w:pPr>
      <w:r>
        <w:t>Согласно п.2 ст.8 настоящего Федерального Закона к основным сведениям 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</w:t>
      </w:r>
      <w:r>
        <w:t xml:space="preserve"> а также характеристики, которые определяются и изменяются в результате образования земельных участков, уточнения местоположения границ земельных участков, строительства и реконструкции зданий, сооружений, помещений и машино-мест, перепланировки помещений.</w:t>
      </w:r>
      <w:r>
        <w:t xml:space="preserve"> </w:t>
      </w:r>
    </w:p>
    <w:p w14:paraId="26998F3D" w14:textId="77777777" w:rsidR="007F5395" w:rsidRDefault="006004F7">
      <w:pPr>
        <w:ind w:firstLine="708"/>
        <w:jc w:val="both"/>
      </w:pPr>
      <w:r>
        <w:lastRenderedPageBreak/>
        <w:t>В соответствии с п.1 ст.14 ФЗ №218-ФЗ государственный кадастровый учет и (или) государственная 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</w:t>
      </w:r>
      <w:r>
        <w:t>егистрации прав в установленном настоящим Федеральным законом порядке.</w:t>
      </w:r>
    </w:p>
    <w:p w14:paraId="6C18F126" w14:textId="77777777" w:rsidR="007F5395" w:rsidRDefault="006004F7">
      <w:pPr>
        <w:jc w:val="both"/>
      </w:pPr>
      <w:r>
        <w:t xml:space="preserve">      Согласно ст.43 Федеральному закону №218 «О Государственной регистрации недвижимости» государственный кадастровый учет в связи с изменением описания местоположения границ земельног</w:t>
      </w:r>
      <w:r>
        <w:t>о участка и (или) его площади, за исключением случаев образования земельного участка при выделе из земельного участка или разделе земельного участка, при которых преобразуемый земельный участок сохраняется в измененных границах, осуществляется при условии,</w:t>
      </w:r>
      <w:r>
        <w:t xml:space="preserve"> если такие изменения связаны с уточнением описания местоположения границ земельного участка, о котором сведения, содержащиеся в Едином государственном реестре недвижимости, не соответствуют установленным на основании настоящего Федерального </w:t>
      </w:r>
      <w:hyperlink r:id="rId4" w:anchor="Par447" w:history="1">
        <w:r>
          <w:rPr>
            <w:color w:val="0000EE"/>
          </w:rPr>
          <w:t>закона</w:t>
        </w:r>
      </w:hyperlink>
      <w:r>
        <w:t xml:space="preserve"> требованиям к описанию местоположения границ земельных участков (далее - уточнение границ земельного участка).</w:t>
      </w:r>
    </w:p>
    <w:p w14:paraId="13E81E6B" w14:textId="77777777" w:rsidR="007F5395" w:rsidRDefault="006004F7">
      <w:pPr>
        <w:jc w:val="both"/>
      </w:pPr>
      <w:r>
        <w:t xml:space="preserve"> </w:t>
      </w:r>
      <w:r>
        <w:tab/>
        <w:t xml:space="preserve">Если при государственном кадастровом учете в связи с уточнением местоположения части границ земельного участка, которая одновременно является </w:t>
      </w:r>
      <w:r>
        <w:t>общей (смежной) частью границ других земельных участков, и (или) изменением площади земельного участка требуется внесение изменений в сведения, содержащиеся в Едином государственном реестре недвижимости, о смежных с ним земельных участках, орган регистраци</w:t>
      </w:r>
      <w:r>
        <w:t xml:space="preserve">и прав одновременно с осуществлением государственного кадастрового учета вносит соответствующие изменения в сведения, содержащиеся в Едином государственном реестре недвижимости, о местоположении границ (частей границ) и площади указанных смежных земельных </w:t>
      </w:r>
      <w:r>
        <w:t>участков. При этом представление дополнительных заявлений о государственном кадастровом учете изменений в сведениях, содержащихся в Едином государственном реестре недвижимости, в отношении указанных смежных земельных участков не требуется. В указанном случ</w:t>
      </w:r>
      <w:r>
        <w:t>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</w:t>
      </w:r>
    </w:p>
    <w:p w14:paraId="4AE399A8" w14:textId="77777777" w:rsidR="007F5395" w:rsidRDefault="006004F7">
      <w:pPr>
        <w:ind w:firstLine="540"/>
        <w:jc w:val="both"/>
      </w:pPr>
      <w:r>
        <w:t>В соответствии с  п.3 ст.61 Федерального  закона №218 «О Госуд</w:t>
      </w:r>
      <w:r>
        <w:t>арственной регистрации недвижимости», 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</w:t>
      </w:r>
      <w:r>
        <w:t xml:space="preserve">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настоящим Федеральным </w:t>
      </w:r>
      <w:r>
        <w:t>законом (далее - реестровая ошибка),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</w:t>
      </w:r>
      <w:r>
        <w:t>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</w:t>
      </w:r>
      <w:r>
        <w:t>ение, возникновение, переход зарегистрированного права на объект недвижимости.</w:t>
      </w:r>
    </w:p>
    <w:p w14:paraId="188A9102" w14:textId="77777777" w:rsidR="007F5395" w:rsidRDefault="006004F7">
      <w:pPr>
        <w:ind w:firstLine="540"/>
        <w:jc w:val="both"/>
      </w:pPr>
      <w:r>
        <w:t>В силу  п.4 ст.61 Федерального  закона №218 «О Государственной регистрации недвижимости»,  в случаях, если существуют основания полагать, что исправление технической ошибки в за</w:t>
      </w:r>
      <w:r>
        <w:t xml:space="preserve">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недвижимости, такое исправление производится только </w:t>
      </w:r>
      <w:r>
        <w:t xml:space="preserve">по решению суда. В суд с заявлением об </w:t>
      </w:r>
      <w:r>
        <w:lastRenderedPageBreak/>
        <w:t>исправлении технической ошибки в записях и реестровой ошибки также вправе обратиться орган регистрации прав.</w:t>
      </w:r>
    </w:p>
    <w:p w14:paraId="16E9BE70" w14:textId="77777777" w:rsidR="007F5395" w:rsidRDefault="006004F7">
      <w:pPr>
        <w:ind w:firstLine="540"/>
        <w:jc w:val="both"/>
      </w:pPr>
      <w:r>
        <w:t>В соответствии с  п.6 ст.61 Федерального  закона №218 «О Государственной регистрации недвижимости»,  Орган р</w:t>
      </w:r>
      <w:r>
        <w:t>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</w:t>
      </w:r>
      <w:r>
        <w:t>оответствующих сведений как ошибочных, а также указание, в чем состоит необходимость исправления такой ошибки. Орган регистрации прав не позднее рабочего дня, следующего за днем принятия данного решения, направляет его заинтересованным лицам или в соответс</w:t>
      </w:r>
      <w:r>
        <w:t>твующие органы для исправления такой ошибки. Порядок и способы направления органом регистрации прав данного решения в форме электронного документа с использованием информационно-телекоммуникационных сетей общего пользования, в том числе сети "Интернет", вк</w:t>
      </w:r>
      <w:r>
        <w:t xml:space="preserve">лючая единый портал, устанавливаются органом нормативно-правового регулирования. Суд по требованию любого лица или любого органа, в том числе органа регистрации прав, вправе принять решение об исправлении реестровой ошибки в описании местоположения границ </w:t>
      </w:r>
      <w:r>
        <w:t>земельных участков.</w:t>
      </w:r>
    </w:p>
    <w:p w14:paraId="203B97D2" w14:textId="77777777" w:rsidR="007F5395" w:rsidRDefault="006004F7">
      <w:pPr>
        <w:jc w:val="both"/>
      </w:pPr>
      <w:r>
        <w:t xml:space="preserve">        В силу ст. 209 ГК РФ собственнику принадлежат права владения, пользования и распоряжения своим имуществом.</w:t>
      </w:r>
    </w:p>
    <w:p w14:paraId="293C118E" w14:textId="77777777" w:rsidR="007F5395" w:rsidRDefault="006004F7">
      <w:pPr>
        <w:jc w:val="both"/>
      </w:pPr>
      <w:r>
        <w:t xml:space="preserve">        Согласно ст. 301 ГК РФ, собственник  вправе истребовать  имущество из чужого незаконного владения,  ст. 304 ГК РФ</w:t>
      </w:r>
      <w:r>
        <w:t xml:space="preserve">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14:paraId="007A4C42" w14:textId="77777777" w:rsidR="007F5395" w:rsidRDefault="006004F7">
      <w:pPr>
        <w:jc w:val="both"/>
      </w:pPr>
      <w:r>
        <w:t xml:space="preserve">   Согласно ч.1 ст.25 Земельного Кодекса РФ, права на земельные участки, предусмотренные </w:t>
      </w:r>
      <w:hyperlink r:id="rId5" w:history="1">
        <w:r>
          <w:rPr>
            <w:color w:val="0000EE"/>
          </w:rPr>
          <w:t>главами III</w:t>
        </w:r>
      </w:hyperlink>
      <w:r>
        <w:t xml:space="preserve"> и </w:t>
      </w:r>
      <w:hyperlink r:id="rId6" w:history="1">
        <w:r>
          <w:rPr>
            <w:color w:val="0000EE"/>
          </w:rPr>
          <w:t>IV</w:t>
        </w:r>
      </w:hyperlink>
      <w:r>
        <w:t xml:space="preserve"> настоящего Ко</w:t>
      </w:r>
      <w:r>
        <w:t xml:space="preserve">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7" w:history="1">
        <w:r>
          <w:rPr>
            <w:color w:val="0000EE"/>
          </w:rPr>
          <w:t>законом</w:t>
        </w:r>
      </w:hyperlink>
      <w:r>
        <w:t xml:space="preserve"> «О государственной регистрации прав на недвижимое имущество и сделок с ним».</w:t>
      </w:r>
    </w:p>
    <w:p w14:paraId="6ECC2104" w14:textId="77777777" w:rsidR="007F5395" w:rsidRDefault="006004F7">
      <w:pPr>
        <w:jc w:val="both"/>
      </w:pPr>
      <w:r>
        <w:t xml:space="preserve">     В соответствии с ч.1 ст.26 Земельного Кодекса РФ, права на земельные участки, предусмотренные </w:t>
      </w:r>
      <w:hyperlink r:id="rId8" w:history="1">
        <w:r>
          <w:rPr>
            <w:color w:val="0000EE"/>
          </w:rPr>
          <w:t>главами III</w:t>
        </w:r>
      </w:hyperlink>
      <w:r>
        <w:t xml:space="preserve"> и </w:t>
      </w:r>
      <w:hyperlink r:id="rId9" w:history="1">
        <w:r>
          <w:rPr>
            <w:color w:val="0000EE"/>
          </w:rPr>
          <w:t>IV</w:t>
        </w:r>
      </w:hyperlink>
      <w:r>
        <w:t xml:space="preserve"> настоя</w:t>
      </w:r>
      <w:r>
        <w:t xml:space="preserve">щего Кодекса, удостоверяются документами в соответствии с Федеральным </w:t>
      </w:r>
      <w:hyperlink r:id="rId10" w:history="1">
        <w:r>
          <w:rPr>
            <w:color w:val="0000EE"/>
          </w:rPr>
          <w:t>законом</w:t>
        </w:r>
      </w:hyperlink>
      <w:r>
        <w:t xml:space="preserve"> «О государственной регистрации прав на недвижим</w:t>
      </w:r>
      <w:r>
        <w:t>ое имущество и сделок с ним».</w:t>
      </w:r>
    </w:p>
    <w:p w14:paraId="281B9AA1" w14:textId="77777777" w:rsidR="007F5395" w:rsidRDefault="006004F7">
      <w:pPr>
        <w:ind w:firstLine="709"/>
        <w:jc w:val="both"/>
      </w:pPr>
      <w:r>
        <w:t>В соответствии с п.10 Федерального закона от 13.07.2015 № 218-ФЗ «О государст</w:t>
      </w:r>
      <w:r>
        <w:softHyphen/>
        <w:t>венной регистрации недвижимости» при уточнении границ земельного участка их ме</w:t>
      </w:r>
      <w:r>
        <w:softHyphen/>
        <w:t>стоположение определяется исходя из сведений, содержащихся в документ</w:t>
      </w:r>
      <w:r>
        <w:t>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</w:t>
      </w:r>
      <w:r>
        <w:t>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</w:t>
      </w:r>
      <w:r>
        <w:t>ии сведений о таком зе</w:t>
      </w:r>
      <w:r>
        <w:softHyphen/>
        <w:t>мельном участке его границами являются границы, существующие на местности пятна</w:t>
      </w:r>
      <w:r>
        <w:softHyphen/>
        <w:t>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</w:t>
      </w:r>
      <w:r>
        <w:t xml:space="preserve">ниц земельного участка. </w:t>
      </w:r>
    </w:p>
    <w:p w14:paraId="4607E163" w14:textId="77777777" w:rsidR="007F5395" w:rsidRDefault="006004F7">
      <w:pPr>
        <w:ind w:firstLine="709"/>
        <w:jc w:val="both"/>
      </w:pPr>
      <w:r>
        <w:t xml:space="preserve">При разрешении спора судом установлено и из материалов дела следует, что </w:t>
      </w:r>
      <w:r>
        <w:rPr>
          <w:rStyle w:val="cat-FIOgrp-37rplc-77"/>
        </w:rPr>
        <w:t>фио</w:t>
      </w:r>
      <w:r>
        <w:t xml:space="preserve"> является собственником земельного участка площадью 513 кв.м. с кадастровым номером  50:27:0030411:24, по адресу: </w:t>
      </w:r>
      <w:r>
        <w:rPr>
          <w:rStyle w:val="cat-Addressgrp-3rplc-78"/>
        </w:rPr>
        <w:t>адрес</w:t>
      </w:r>
      <w:r>
        <w:t xml:space="preserve">, вблизи </w:t>
      </w:r>
      <w:r>
        <w:rPr>
          <w:rStyle w:val="cat-Addressgrp-2rplc-79"/>
        </w:rPr>
        <w:t>адрес</w:t>
      </w:r>
      <w:r>
        <w:t xml:space="preserve">, </w:t>
      </w:r>
      <w:r>
        <w:rPr>
          <w:rStyle w:val="cat-OrganizationNamegrp-57rplc-80"/>
        </w:rPr>
        <w:t>наименование организ</w:t>
      </w:r>
      <w:r>
        <w:rPr>
          <w:rStyle w:val="cat-OrganizationNamegrp-57rplc-80"/>
        </w:rPr>
        <w:t>ации</w:t>
      </w:r>
      <w:r>
        <w:t xml:space="preserve">,  на основании  договора купли-продажи,  заключенного 09.10.2012 года между </w:t>
      </w:r>
      <w:r>
        <w:rPr>
          <w:rStyle w:val="cat-FIOgrp-47rplc-82"/>
        </w:rPr>
        <w:t>фио</w:t>
      </w:r>
      <w:r>
        <w:t xml:space="preserve">, </w:t>
      </w:r>
      <w:r>
        <w:rPr>
          <w:rStyle w:val="cat-FIOgrp-48rplc-83"/>
        </w:rPr>
        <w:t>фио</w:t>
      </w:r>
      <w:r>
        <w:t xml:space="preserve"> и </w:t>
      </w:r>
      <w:r>
        <w:rPr>
          <w:rStyle w:val="cat-FIOgrp-53rplc-84"/>
        </w:rPr>
        <w:t>фио</w:t>
      </w:r>
      <w:r>
        <w:t xml:space="preserve"> Границы </w:t>
      </w:r>
      <w:r>
        <w:lastRenderedPageBreak/>
        <w:t>земельного участка не установлены в соответствии с требованиями земельного законодательства.</w:t>
      </w:r>
    </w:p>
    <w:p w14:paraId="375E7712" w14:textId="77777777" w:rsidR="007F5395" w:rsidRDefault="006004F7">
      <w:pPr>
        <w:ind w:firstLine="709"/>
        <w:jc w:val="both"/>
      </w:pPr>
      <w:r>
        <w:t>В материалы дела представлен межевой план на земельный учас</w:t>
      </w:r>
      <w:r>
        <w:t>ток с кадастровым номером  50:27:0030411:24.</w:t>
      </w:r>
    </w:p>
    <w:p w14:paraId="3E0ABACA" w14:textId="77777777" w:rsidR="007F5395" w:rsidRDefault="006004F7">
      <w:pPr>
        <w:ind w:firstLine="709"/>
        <w:jc w:val="both"/>
      </w:pPr>
      <w:r>
        <w:t xml:space="preserve">Земельный участок площадью 520 кв.м. с кадастровым номером  50:27:0030411:85, по адресу: </w:t>
      </w:r>
      <w:r>
        <w:rPr>
          <w:rStyle w:val="cat-Addressgrp-3rplc-86"/>
        </w:rPr>
        <w:t>адрес</w:t>
      </w:r>
      <w:r>
        <w:t xml:space="preserve">, вблизи </w:t>
      </w:r>
      <w:r>
        <w:rPr>
          <w:rStyle w:val="cat-Addressgrp-2rplc-87"/>
        </w:rPr>
        <w:t>адрес</w:t>
      </w:r>
      <w:r>
        <w:t xml:space="preserve">, уч. №38, принадлежит на праве собственности </w:t>
      </w:r>
      <w:r>
        <w:rPr>
          <w:rStyle w:val="cat-FIOgrp-30rplc-88"/>
        </w:rPr>
        <w:t>фио</w:t>
      </w:r>
      <w:r>
        <w:t xml:space="preserve"> на основании Постановления Главы администрации Подоль</w:t>
      </w:r>
      <w:r>
        <w:t xml:space="preserve">ского района №322 от 10.03.1994 года. Границы земельного участка установлены. </w:t>
      </w:r>
    </w:p>
    <w:p w14:paraId="3CACBBA3" w14:textId="77777777" w:rsidR="007F5395" w:rsidRDefault="006004F7">
      <w:pPr>
        <w:ind w:firstLine="709"/>
        <w:jc w:val="both"/>
      </w:pPr>
      <w:r>
        <w:t xml:space="preserve">Земельный участок площадью 498 кв.м. с кадастровым номером  50:27:0030411:8, по адресу: </w:t>
      </w:r>
      <w:r>
        <w:rPr>
          <w:rStyle w:val="cat-Addressgrp-3rplc-92"/>
        </w:rPr>
        <w:t>адрес</w:t>
      </w:r>
      <w:r>
        <w:t xml:space="preserve">, вблизи </w:t>
      </w:r>
      <w:r>
        <w:rPr>
          <w:rStyle w:val="cat-Addressgrp-2rplc-93"/>
        </w:rPr>
        <w:t>адрес</w:t>
      </w:r>
      <w:r>
        <w:t xml:space="preserve">, принадлежит на праве собственности </w:t>
      </w:r>
      <w:r>
        <w:rPr>
          <w:rStyle w:val="cat-FIOgrp-36rplc-94"/>
        </w:rPr>
        <w:t>фио</w:t>
      </w:r>
    </w:p>
    <w:p w14:paraId="49A73767" w14:textId="77777777" w:rsidR="007F5395" w:rsidRDefault="006004F7">
      <w:pPr>
        <w:ind w:firstLine="709"/>
        <w:jc w:val="both"/>
      </w:pPr>
      <w:r>
        <w:t>Земельный участок площадью 49</w:t>
      </w:r>
      <w:r>
        <w:t xml:space="preserve">8 кв.м. с кадастровым номером  50:27:0030411:31, по адресу: </w:t>
      </w:r>
      <w:r>
        <w:rPr>
          <w:rStyle w:val="cat-Addressgrp-3rplc-96"/>
        </w:rPr>
        <w:t>адрес</w:t>
      </w:r>
      <w:r>
        <w:t xml:space="preserve">, вблизи </w:t>
      </w:r>
      <w:r>
        <w:rPr>
          <w:rStyle w:val="cat-Addressgrp-2rplc-97"/>
        </w:rPr>
        <w:t>адрес</w:t>
      </w:r>
      <w:r>
        <w:t xml:space="preserve">, уч.17, принадлежит на праве собственности </w:t>
      </w:r>
      <w:r>
        <w:rPr>
          <w:rStyle w:val="cat-FIOgrp-42rplc-98"/>
        </w:rPr>
        <w:t>фио</w:t>
      </w:r>
    </w:p>
    <w:p w14:paraId="2F05466E" w14:textId="77777777" w:rsidR="007F5395" w:rsidRDefault="006004F7">
      <w:pPr>
        <w:ind w:firstLine="709"/>
        <w:jc w:val="both"/>
      </w:pPr>
      <w:r>
        <w:t xml:space="preserve">Земельный участок площадью 498 кв.м. с кадастровым номером  50:27:0030411:23, по адресу: </w:t>
      </w:r>
      <w:r>
        <w:rPr>
          <w:rStyle w:val="cat-Addressgrp-3rplc-100"/>
        </w:rPr>
        <w:t>адрес</w:t>
      </w:r>
      <w:r>
        <w:t xml:space="preserve">, вблизи </w:t>
      </w:r>
      <w:r>
        <w:rPr>
          <w:rStyle w:val="cat-Addressgrp-2rplc-101"/>
        </w:rPr>
        <w:t>адрес</w:t>
      </w:r>
      <w:r>
        <w:t xml:space="preserve">, уч.39, принадлежит на праве собственности </w:t>
      </w:r>
      <w:r>
        <w:rPr>
          <w:rStyle w:val="cat-FIOgrp-49rplc-102"/>
        </w:rPr>
        <w:t>фио</w:t>
      </w:r>
    </w:p>
    <w:p w14:paraId="786BC5E5" w14:textId="77777777" w:rsidR="007F5395" w:rsidRDefault="006004F7">
      <w:pPr>
        <w:ind w:firstLine="567"/>
        <w:jc w:val="both"/>
      </w:pPr>
      <w:r>
        <w:t xml:space="preserve">Постановление Главы Администрации </w:t>
      </w:r>
      <w:r>
        <w:rPr>
          <w:rStyle w:val="cat-Addressgrp-9rplc-103"/>
        </w:rPr>
        <w:t>адрес</w:t>
      </w:r>
      <w:r>
        <w:t xml:space="preserve"> №322 от 10.03.1994 года земельный участок площадью 72300 кв.м. закреплен за садоводческим товариществом «Чириково-1», в собственность членов – 59500 кв.м., в коллективно-совместную собственность – 12800 кв.м.</w:t>
      </w:r>
    </w:p>
    <w:p w14:paraId="5993DD86" w14:textId="77777777" w:rsidR="007F5395" w:rsidRDefault="006004F7">
      <w:pPr>
        <w:ind w:firstLine="709"/>
        <w:jc w:val="both"/>
      </w:pPr>
      <w:r>
        <w:t>В обоснование требований по первоначальному ис</w:t>
      </w:r>
      <w:r>
        <w:t xml:space="preserve">ку </w:t>
      </w:r>
      <w:r>
        <w:rPr>
          <w:rStyle w:val="cat-FIOgrp-37rplc-105"/>
        </w:rPr>
        <w:t>фио</w:t>
      </w:r>
      <w:r>
        <w:t xml:space="preserve"> было представлено  заключение кадастрового инженера о результатах обследования границ земельного участка с кадастровым номером  50:27:0030411:24, согласно выводам которого в сведениях ЕГРН содержатся недостоверные сведения о поворотных точках смежно</w:t>
      </w:r>
      <w:r>
        <w:t>й границы земельного участка с кадастровыми номерами  50:27:0030411:85 и 50:27:0030411:24. Имеется наложение границ земельного участка с кадастровым номером  50:27:0030411:85 на фактические границы участка с кадастровым номером  50:27:0030411:24. Площадь н</w:t>
      </w:r>
      <w:r>
        <w:t>аложения составляет 51 кв.м.</w:t>
      </w:r>
    </w:p>
    <w:p w14:paraId="18A636EC" w14:textId="77777777" w:rsidR="007F5395" w:rsidRDefault="006004F7">
      <w:pPr>
        <w:ind w:firstLine="708"/>
        <w:jc w:val="both"/>
      </w:pPr>
      <w:r>
        <w:t xml:space="preserve">Определением суда от 01.06.2018 года по делу была назначена судебная землеустроительная экспертиза, проведение которой было поручено </w:t>
      </w:r>
      <w:r>
        <w:rPr>
          <w:rStyle w:val="cat-OrganizationNamegrp-58rplc-107"/>
        </w:rPr>
        <w:t>наименование организации</w:t>
      </w:r>
      <w:r>
        <w:t>, а также определением суда от 22.11.2018 года дополнительная судебная</w:t>
      </w:r>
      <w:r>
        <w:t xml:space="preserve"> землеустроительная экспертиза тому же экспертному учреждению,  в связи с принятием к производству встречного искового заявления </w:t>
      </w:r>
      <w:r>
        <w:rPr>
          <w:rStyle w:val="cat-FIOgrp-30rplc-109"/>
        </w:rPr>
        <w:t>фио</w:t>
      </w:r>
    </w:p>
    <w:p w14:paraId="3B95BC06" w14:textId="77777777" w:rsidR="007F5395" w:rsidRDefault="006004F7">
      <w:pPr>
        <w:ind w:firstLine="708"/>
        <w:jc w:val="both"/>
      </w:pPr>
      <w:r>
        <w:t xml:space="preserve">В соответствии с заключениями первоначальной и дополнительной экспертиз экспертом </w:t>
      </w:r>
      <w:r>
        <w:rPr>
          <w:rStyle w:val="cat-FIOgrp-50rplc-110"/>
        </w:rPr>
        <w:t>фио</w:t>
      </w:r>
      <w:r>
        <w:t>, установлено, что фактическая площадь</w:t>
      </w:r>
      <w:r>
        <w:t xml:space="preserve"> спорных земельных участков с кадастровыми номерами  50:27:0030411:85  и 50:27:0030411:24   не соответствует площади по правоудостоверяющим документам и данным ЕГРН. </w:t>
      </w:r>
    </w:p>
    <w:p w14:paraId="7A5B062C" w14:textId="77777777" w:rsidR="007F5395" w:rsidRDefault="006004F7">
      <w:pPr>
        <w:ind w:firstLine="709"/>
        <w:jc w:val="both"/>
      </w:pPr>
      <w:r>
        <w:t xml:space="preserve"> Фактические границы </w:t>
      </w:r>
      <w:r>
        <w:rPr>
          <w:rStyle w:val="cat-Addressgrp-4rplc-111"/>
        </w:rPr>
        <w:t>адрес</w:t>
      </w:r>
      <w:r>
        <w:t xml:space="preserve"> с кадастровым номером 50:27:0030411:85 не соответствуют границ</w:t>
      </w:r>
      <w:r>
        <w:t>ам, указанным на плане участка, не соответствуют границам по данным  ЕГРН.</w:t>
      </w:r>
    </w:p>
    <w:p w14:paraId="1108B794" w14:textId="77777777" w:rsidR="007F5395" w:rsidRDefault="006004F7">
      <w:pPr>
        <w:ind w:firstLine="709"/>
        <w:jc w:val="both"/>
      </w:pPr>
      <w:r>
        <w:t xml:space="preserve">Фактические границы спорных земельных участков не соответствуют границам, воспроизведенным по плану </w:t>
      </w:r>
      <w:r>
        <w:rPr>
          <w:rStyle w:val="cat-OrganizationNamegrp-56rplc-112"/>
        </w:rPr>
        <w:t>наименование организации</w:t>
      </w:r>
      <w:r>
        <w:t>.</w:t>
      </w:r>
    </w:p>
    <w:p w14:paraId="16776A55" w14:textId="77777777" w:rsidR="007F5395" w:rsidRDefault="006004F7">
      <w:pPr>
        <w:ind w:firstLine="709"/>
        <w:jc w:val="both"/>
      </w:pPr>
      <w:r>
        <w:t xml:space="preserve">Имеющееся несоответствие фактических границ земельного </w:t>
      </w:r>
      <w:r>
        <w:rPr>
          <w:rStyle w:val="cat-Addressgrp-4rplc-113"/>
        </w:rPr>
        <w:t>адрес</w:t>
      </w:r>
      <w:r>
        <w:t xml:space="preserve"> с кадастровым номером 50:27:0030411:85 данным ЕГРН является реестровой ошибкой.</w:t>
      </w:r>
    </w:p>
    <w:p w14:paraId="7E36EFE1" w14:textId="77777777" w:rsidR="007F5395" w:rsidRDefault="006004F7">
      <w:pPr>
        <w:ind w:firstLine="709"/>
        <w:jc w:val="both"/>
      </w:pPr>
      <w:r>
        <w:t xml:space="preserve">Устранить несоответствие фактических границ земельного </w:t>
      </w:r>
      <w:r>
        <w:rPr>
          <w:rStyle w:val="cat-Addressgrp-4rplc-114"/>
        </w:rPr>
        <w:t>адрес</w:t>
      </w:r>
      <w:r>
        <w:t xml:space="preserve"> с кадастровым номером 50:27:0030411:85 данным ЕГРН возможно либо путем переноса ограждения, установленного ме</w:t>
      </w:r>
      <w:r>
        <w:t>жду участками 37 и 38 в соответствии с данными ЕГРН, либо путём внесения изменений в данные ЕГРН относительно координат поворотных точек земельного участка с кадастровым номером 50:27:0030411:85.</w:t>
      </w:r>
    </w:p>
    <w:p w14:paraId="1C9D8300" w14:textId="77777777" w:rsidR="007F5395" w:rsidRDefault="006004F7">
      <w:pPr>
        <w:ind w:firstLine="709"/>
        <w:jc w:val="both"/>
      </w:pPr>
      <w:r>
        <w:t xml:space="preserve">Устранить несоответствие фактических границ земельного </w:t>
      </w:r>
      <w:r>
        <w:rPr>
          <w:rStyle w:val="cat-Addressgrp-11rplc-115"/>
        </w:rPr>
        <w:t>адрес</w:t>
      </w:r>
      <w:r>
        <w:t xml:space="preserve"> с К№ 50:27:0030411:24 данным ЕГРН возможно при условии исследования квартала застройки, ограниченного дорожной сетью, составляющего территорию </w:t>
      </w:r>
      <w:r>
        <w:rPr>
          <w:rStyle w:val="cat-OrganizationNamegrp-56rplc-117"/>
        </w:rPr>
        <w:t>наименование организации</w:t>
      </w:r>
      <w:r>
        <w:t xml:space="preserve">, в </w:t>
      </w:r>
      <w:r>
        <w:lastRenderedPageBreak/>
        <w:t>состав которого входит участок 37. Данное исследование необходимо для выяснения обст</w:t>
      </w:r>
      <w:r>
        <w:t>оятельств, повлекших за собой уменьшение площади участка истца.</w:t>
      </w:r>
    </w:p>
    <w:p w14:paraId="61B75F01" w14:textId="77777777" w:rsidR="007F5395" w:rsidRDefault="006004F7">
      <w:pPr>
        <w:ind w:firstLine="709"/>
        <w:jc w:val="both"/>
      </w:pPr>
      <w:r>
        <w:t xml:space="preserve">Часть земельного участка, находящегося в пользовании </w:t>
      </w:r>
      <w:r>
        <w:rPr>
          <w:rStyle w:val="cat-FIOgrp-30rplc-118"/>
        </w:rPr>
        <w:t>фио</w:t>
      </w:r>
      <w:r>
        <w:t xml:space="preserve">, запользованного у земельного участка 39, возможно отнести к земельному </w:t>
      </w:r>
      <w:r>
        <w:rPr>
          <w:rStyle w:val="cat-Addressgrp-11rplc-119"/>
        </w:rPr>
        <w:t>адрес</w:t>
      </w:r>
      <w:r>
        <w:t xml:space="preserve"> с кадастровым номером 50:27:0030411:24.</w:t>
      </w:r>
    </w:p>
    <w:p w14:paraId="52C4988E" w14:textId="77777777" w:rsidR="007F5395" w:rsidRDefault="006004F7">
      <w:pPr>
        <w:ind w:firstLine="709"/>
        <w:jc w:val="both"/>
      </w:pPr>
      <w:r>
        <w:t>Экспертом на схем</w:t>
      </w:r>
      <w:r>
        <w:t xml:space="preserve">ах 3 – 5 были представлены варианты определения границ спорных земельных участков, расположенных по адресу: г.Москва, </w:t>
      </w:r>
      <w:r>
        <w:rPr>
          <w:rStyle w:val="cat-Addressgrp-1rplc-121"/>
        </w:rPr>
        <w:t>адрес</w:t>
      </w:r>
      <w:r>
        <w:t xml:space="preserve">, вблизи </w:t>
      </w:r>
      <w:r>
        <w:rPr>
          <w:rStyle w:val="cat-Addressgrp-2rplc-122"/>
        </w:rPr>
        <w:t>адрес</w:t>
      </w:r>
      <w:r>
        <w:t xml:space="preserve">, </w:t>
      </w:r>
      <w:r>
        <w:rPr>
          <w:rStyle w:val="cat-OrganizationNamegrp-56rplc-123"/>
        </w:rPr>
        <w:t>наименование организации</w:t>
      </w:r>
      <w:r>
        <w:t xml:space="preserve"> с учетом фактического землепользования, правоустанавливающих документов и данных ЕГРН по</w:t>
      </w:r>
      <w:r>
        <w:t xml:space="preserve"> смежным земельным участкам, не являющихся спорными.</w:t>
      </w:r>
    </w:p>
    <w:p w14:paraId="5B1D6EB4" w14:textId="77777777" w:rsidR="007F5395" w:rsidRDefault="006004F7">
      <w:pPr>
        <w:ind w:firstLine="709"/>
        <w:jc w:val="both"/>
      </w:pPr>
      <w:r>
        <w:t>Экспертом отмечено, что представленные варианты определения границ спорных земельных участков возможны при условии внесения изменений в сведения ЕГРН относительно координат поворотных точек границ земель</w:t>
      </w:r>
      <w:r>
        <w:t>ного участка с кадастровым номером 50:27:0030411:85.</w:t>
      </w:r>
    </w:p>
    <w:p w14:paraId="132CD78B" w14:textId="77777777" w:rsidR="007F5395" w:rsidRDefault="006004F7">
      <w:pPr>
        <w:ind w:firstLine="567"/>
        <w:jc w:val="both"/>
      </w:pPr>
      <w:r>
        <w:t>Указанные заключения эксперта суд признал достоверным доказательством, поскольку эксперт, проводивший экспертизу, был предупрежден об уголовной ответственности за дачу заведомо ложных показаний, обладает</w:t>
      </w:r>
      <w:r>
        <w:t xml:space="preserve"> достаточным опытом работы, имеет сертификаты на осуществление землеустроительной экспертизы, заключение составлено с учетом проведенного экспертом обследования объектов. </w:t>
      </w:r>
    </w:p>
    <w:p w14:paraId="3A55B568" w14:textId="77777777" w:rsidR="007F5395" w:rsidRDefault="006004F7">
      <w:pPr>
        <w:ind w:firstLine="540"/>
        <w:jc w:val="both"/>
      </w:pPr>
      <w:r>
        <w:t>В соответствии с п.7 ст.1 Федерального закона от 01.01.2017 № 218-ФЗ «О государствен</w:t>
      </w:r>
      <w:r>
        <w:t>ной регистрации недвижимости»  государственным кадастровым учетом недвижимого имущества является внесение в Единый государственный реестр недвижимости сведений о земельных участках, которые подтверждают существование такого объекта недвижимости с характери</w:t>
      </w:r>
      <w:r>
        <w:t>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настоящим Федеральным законом сведений об объектах недвижимости.</w:t>
      </w:r>
    </w:p>
    <w:p w14:paraId="051D1C52" w14:textId="77777777" w:rsidR="007F5395" w:rsidRDefault="006004F7">
      <w:pPr>
        <w:ind w:firstLine="540"/>
        <w:jc w:val="both"/>
      </w:pPr>
      <w:r>
        <w:t>В силу ст. 22 Федерального закона</w:t>
      </w:r>
      <w:r>
        <w:t xml:space="preserve"> от 01.01.2017 № 218-ФЗ «О государственной регистрации недвижимости»  межевой план представляет собой 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</w:t>
      </w:r>
      <w:r>
        <w:t>ствующем земельном участке и в котором воспроизведены определенные сведения, внесенные в Единый государственный реестр недвижимости, и указаны сведения об образуемых земельном участке или земельных участках, либо о части или частях земельного участка, либо</w:t>
      </w:r>
      <w:r>
        <w:t xml:space="preserve"> новые необходимые для внесения в Единый государственный реестр недвижимости сведения о земельном участке или земельных участках.</w:t>
      </w:r>
    </w:p>
    <w:p w14:paraId="48D4187B" w14:textId="77777777" w:rsidR="007F5395" w:rsidRDefault="006004F7">
      <w:pPr>
        <w:ind w:firstLine="540"/>
        <w:jc w:val="both"/>
      </w:pPr>
      <w:r>
        <w:t xml:space="preserve">В текстовой части межевого плана указываются необходимые для внесения в Единый государственный реестр недвижимости сведения о </w:t>
      </w:r>
      <w:r>
        <w:t xml:space="preserve">земельном участке или земельных участках, включая сведения об использованной при подготовке межевого плана геодезической основе, в том числе о пунктах государственных геодезических сетей или опорных межевых сетей, а также в установленном </w:t>
      </w:r>
      <w:hyperlink w:anchor="Par455" w:history="1">
        <w:r>
          <w:rPr>
            <w:color w:val="0000EE"/>
          </w:rPr>
          <w:t>частью 3</w:t>
        </w:r>
      </w:hyperlink>
      <w:r>
        <w:t xml:space="preserve"> настоящей статьи случае сведения о согласовании местоположения границ земельных участков в форме акта согласования местоположения таких границ.</w:t>
      </w:r>
    </w:p>
    <w:p w14:paraId="0BBC0459" w14:textId="77777777" w:rsidR="007F5395" w:rsidRDefault="006004F7">
      <w:pPr>
        <w:ind w:firstLine="540"/>
        <w:jc w:val="both"/>
      </w:pPr>
      <w:r>
        <w:t>Местоположение границ земельного участка устанавливается посредством определения координат хара</w:t>
      </w:r>
      <w:r>
        <w:t>ктерных точек таких границ, то есть точек изменения описания границ земельного участка и деления их на части.</w:t>
      </w:r>
    </w:p>
    <w:p w14:paraId="46FF7FC1" w14:textId="77777777" w:rsidR="007F5395" w:rsidRDefault="006004F7">
      <w:pPr>
        <w:ind w:firstLine="567"/>
        <w:jc w:val="both"/>
      </w:pPr>
      <w:r>
        <w:t>Оценивая в совокупности представленные доказательства, заключение землеустроительных экспертиз, руководствуясь вышеприведенными нормами права, суд</w:t>
      </w:r>
      <w:r>
        <w:t xml:space="preserve"> пришел к правильному выводу о признании реестровой ошибкой внесенные в Единый государственный реестр недвижимости, сведения о местоположении границ земельного </w:t>
      </w:r>
      <w:r>
        <w:lastRenderedPageBreak/>
        <w:t>участка с кадастровым номером 50:27:0030411:85 и об установлении границы земельных участков с ка</w:t>
      </w:r>
      <w:r>
        <w:t>дастровыми номерами  50:27:0030411:85  и 50:27:0030411:24, согласно схемы 5,  разработанной экспертом с учетом фактического землепользования, правоустанавливающих документов и данных ЕГРН по смежным земельным участкам, а также площадных характеристик спорн</w:t>
      </w:r>
      <w:r>
        <w:t xml:space="preserve">ых участков, обязав при этом   </w:t>
      </w:r>
      <w:r>
        <w:rPr>
          <w:rStyle w:val="cat-FIOgrp-38rplc-126"/>
        </w:rPr>
        <w:t>фио</w:t>
      </w:r>
      <w:r>
        <w:t xml:space="preserve"> передвинуть забор, установленный между земельными участками с кадастровыми номерами 50:27:0030411:85 и 50:27:0030411:24 согласно границе, установленной судебным экспертным заключением по схеме 5 в месячный срок со дня вст</w:t>
      </w:r>
      <w:r>
        <w:t>упления решения суда по настоящему гражданскому делу в законную силу.</w:t>
      </w:r>
    </w:p>
    <w:p w14:paraId="52D4FC82" w14:textId="77777777" w:rsidR="007F5395" w:rsidRDefault="006004F7">
      <w:pPr>
        <w:ind w:firstLine="540"/>
        <w:jc w:val="both"/>
      </w:pPr>
      <w:r>
        <w:t>При этом суд не согласился  заявлением представителя истца по первоначальному иску о подложности акта согласования местоположения границ земельного участка с кадастровым номером 50:27:00</w:t>
      </w:r>
      <w:r>
        <w:t xml:space="preserve">30411:85 и межевого плана садового земельного участка с кадастровым номером 50:27:0030411:85, подготовленного  кадастровым инженером </w:t>
      </w:r>
      <w:r>
        <w:rPr>
          <w:rStyle w:val="cat-OrganizationNamegrp-59rplc-127"/>
        </w:rPr>
        <w:t>наименование организации</w:t>
      </w:r>
      <w:r>
        <w:t xml:space="preserve"> </w:t>
      </w:r>
      <w:r>
        <w:rPr>
          <w:rStyle w:val="cat-FIOgrp-51rplc-128"/>
        </w:rPr>
        <w:t>фио</w:t>
      </w:r>
      <w:r>
        <w:t>, поскольку приведенные стороной обстоятельства в обоснование заявленного ходатайства  не могли</w:t>
      </w:r>
      <w:r>
        <w:t xml:space="preserve">  повлиять на результаты проведенных по делу судебных экспертиз.</w:t>
      </w:r>
    </w:p>
    <w:p w14:paraId="4FE7E88F" w14:textId="77777777" w:rsidR="007F5395" w:rsidRDefault="006004F7">
      <w:pPr>
        <w:ind w:firstLine="567"/>
        <w:jc w:val="both"/>
      </w:pPr>
      <w:r>
        <w:t xml:space="preserve">В соответствии со ст. 98 ГПК РФ суд взыскал со </w:t>
      </w:r>
      <w:r>
        <w:rPr>
          <w:rStyle w:val="cat-FIOgrp-30rplc-129"/>
        </w:rPr>
        <w:t>фио</w:t>
      </w:r>
      <w:r>
        <w:t xml:space="preserve"> в пользу </w:t>
      </w:r>
      <w:r>
        <w:rPr>
          <w:rStyle w:val="cat-FIOgrp-52rplc-130"/>
        </w:rPr>
        <w:t>фио</w:t>
      </w:r>
      <w:r>
        <w:t xml:space="preserve"> ЧВ.С. судебные расходы по уплате госпошлины в размере 1200 рублей,  отказав в удовлетворении требований о взыскании денежных ср</w:t>
      </w:r>
      <w:r>
        <w:t>едств на случай неисполнения судебного акта в виде судебной неустойки в размере 500 рублей за каждый день с момента вступления судебного акта в законную силу.</w:t>
      </w:r>
    </w:p>
    <w:p w14:paraId="0ED18DEB" w14:textId="77777777" w:rsidR="007F5395" w:rsidRDefault="006004F7">
      <w:pPr>
        <w:ind w:firstLine="540"/>
        <w:jc w:val="both"/>
      </w:pPr>
      <w:r>
        <w:t>С указанными выводами суда первой инстанции судебная коллегия соглашается, поскольку они мотивиро</w:t>
      </w:r>
      <w:r>
        <w:t xml:space="preserve">ванны, соответствуют установленным обстоятельствам дела, основаны на правильном применении и толковании норм материального права и исследованных судом доказательствах, оценка которых произведена по правилам </w:t>
      </w:r>
      <w:hyperlink r:id="rId11" w:history="1">
        <w:r>
          <w:rPr>
            <w:color w:val="0000EE"/>
          </w:rPr>
          <w:t>ст. 67</w:t>
        </w:r>
      </w:hyperlink>
      <w:r>
        <w:t xml:space="preserve"> ГПК РФ.</w:t>
      </w:r>
    </w:p>
    <w:p w14:paraId="183E2D4A" w14:textId="77777777" w:rsidR="007F5395" w:rsidRDefault="006004F7">
      <w:pPr>
        <w:ind w:firstLine="709"/>
        <w:jc w:val="both"/>
      </w:pPr>
      <w:r>
        <w:t>Вопреки доводам апелляционной жалобы, суд с достаточной полнотой исследовал все доказательства собранные в ходе разрешения спора,  юридически значимые обстояте</w:t>
      </w:r>
      <w:r>
        <w:t>льства по делу судом установлены правильно, выводы суда не противоречат материалам дела, основаны на всестороннем, полном и объективном исследовании имеющихся в деле доказательств, судом приняты во внимание доводы всех участвующих в деле лиц, доказательств</w:t>
      </w:r>
      <w:r>
        <w:t>а были получены и исследованы в таком объеме, который позволил суду разрешить спор.</w:t>
      </w:r>
    </w:p>
    <w:p w14:paraId="245C3D36" w14:textId="77777777" w:rsidR="007F5395" w:rsidRDefault="006004F7">
      <w:pPr>
        <w:ind w:firstLine="540"/>
        <w:jc w:val="both"/>
      </w:pPr>
      <w:r>
        <w:t xml:space="preserve">Доводы апелляционной жалобы   о том, что суд не установил границы земельных участков по предложенному эксперту варианту схемы  № 3  судебной землеустроительной экспертизы, </w:t>
      </w:r>
      <w:r>
        <w:t xml:space="preserve"> чем  нарушил   права </w:t>
      </w:r>
      <w:r>
        <w:rPr>
          <w:rStyle w:val="cat-FIOgrp-30rplc-133"/>
        </w:rPr>
        <w:t>фио</w:t>
      </w:r>
      <w:r>
        <w:t>,  не могут быть приняты судебной коллегией во внимание, ввиду их несостоятельности.</w:t>
      </w:r>
    </w:p>
    <w:p w14:paraId="01A5057B" w14:textId="77777777" w:rsidR="007F5395" w:rsidRDefault="006004F7">
      <w:pPr>
        <w:ind w:firstLine="567"/>
        <w:jc w:val="both"/>
      </w:pPr>
      <w:r>
        <w:t xml:space="preserve">Как верно было установлено судом </w:t>
      </w:r>
      <w:r>
        <w:rPr>
          <w:rStyle w:val="cat-FIOgrp-34rplc-134"/>
        </w:rPr>
        <w:t>фио</w:t>
      </w:r>
      <w:r>
        <w:t xml:space="preserve"> является собственником земельного участка с кадастровым номером 50:27:0030411:24 общей площадью 513 кв.м., </w:t>
      </w:r>
    </w:p>
    <w:p w14:paraId="32CFF063" w14:textId="77777777" w:rsidR="007F5395" w:rsidRDefault="006004F7">
      <w:pPr>
        <w:jc w:val="both"/>
      </w:pPr>
      <w:r>
        <w:rPr>
          <w:rStyle w:val="cat-FIOgrp-38rplc-135"/>
        </w:rPr>
        <w:t>фио</w:t>
      </w:r>
      <w:r>
        <w:t xml:space="preserve"> является собственником земельного участка с кадастровым номером 50:27:0030411:85 общей площадью 520 кв.м.</w:t>
      </w:r>
    </w:p>
    <w:p w14:paraId="6E45E25A" w14:textId="77777777" w:rsidR="007F5395" w:rsidRDefault="006004F7">
      <w:pPr>
        <w:ind w:firstLine="540"/>
        <w:jc w:val="both"/>
      </w:pPr>
      <w:r>
        <w:t>Согласно данным судебной землеустроительной дополнительной экспертизы фактическая площадь земельного участка с кадастровым номером 50:27:0030411:2</w:t>
      </w:r>
      <w:r>
        <w:t>4 составляет 479 кв.м., фактическая площадь земельного участка с кадастровым номером 50:27:0030411:85 составляет 531 кв.м.</w:t>
      </w:r>
    </w:p>
    <w:p w14:paraId="0A097A9E" w14:textId="77777777" w:rsidR="007F5395" w:rsidRDefault="006004F7">
      <w:pPr>
        <w:ind w:firstLine="540"/>
        <w:jc w:val="both"/>
      </w:pPr>
      <w:r>
        <w:t xml:space="preserve">Как следует из заключений судебной землеустроительной экспертиз </w:t>
      </w:r>
      <w:r>
        <w:rPr>
          <w:rStyle w:val="cat-OrganizationNamegrp-58rplc-136"/>
        </w:rPr>
        <w:t>наименование организации</w:t>
      </w:r>
      <w:r>
        <w:t xml:space="preserve">  с учетом их дополнений  в случае установлен</w:t>
      </w:r>
      <w:r>
        <w:t xml:space="preserve">ия границ земельных участков с кадастровыми номерами 50:27:0030411:85  и 50:27:0030411:24 по варианту № 3  площадь </w:t>
      </w:r>
      <w:r>
        <w:rPr>
          <w:rStyle w:val="cat-Addressgrp-11rplc-137"/>
        </w:rPr>
        <w:t>адрес</w:t>
      </w:r>
      <w:r>
        <w:t xml:space="preserve"> будет составлять   -  490 кв.м., тогда как  площадь </w:t>
      </w:r>
      <w:r>
        <w:rPr>
          <w:rStyle w:val="cat-Addressgrp-4rplc-138"/>
        </w:rPr>
        <w:t>адрес</w:t>
      </w:r>
      <w:r>
        <w:t xml:space="preserve"> будет составлять 520 кв.м. </w:t>
      </w:r>
    </w:p>
    <w:p w14:paraId="28B1A816" w14:textId="77777777" w:rsidR="007F5395" w:rsidRDefault="006004F7">
      <w:pPr>
        <w:ind w:firstLine="540"/>
        <w:jc w:val="both"/>
      </w:pPr>
      <w:r>
        <w:lastRenderedPageBreak/>
        <w:t xml:space="preserve">Между тем, согласно варианту № 5 площадь </w:t>
      </w:r>
      <w:r>
        <w:rPr>
          <w:rStyle w:val="cat-Addressgrp-11rplc-139"/>
        </w:rPr>
        <w:t>адрес</w:t>
      </w:r>
      <w:r>
        <w:t xml:space="preserve"> бу</w:t>
      </w:r>
      <w:r>
        <w:t xml:space="preserve">дет составлять   -  502 кв.м., а площадь </w:t>
      </w:r>
      <w:r>
        <w:rPr>
          <w:rStyle w:val="cat-Addressgrp-4rplc-140"/>
        </w:rPr>
        <w:t>адрес</w:t>
      </w:r>
      <w:r>
        <w:t xml:space="preserve"> будет составлять 508 кв.м.</w:t>
      </w:r>
    </w:p>
    <w:p w14:paraId="428A1FAC" w14:textId="77777777" w:rsidR="007F5395" w:rsidRDefault="006004F7">
      <w:pPr>
        <w:ind w:firstLine="567"/>
        <w:jc w:val="both"/>
      </w:pPr>
      <w:r>
        <w:t>При таких обстоятельствах, учитывая, что согласно заключению судебных экспертиз  исправление реестровой  ошибки в описании местоположения границ земельного участка 50:27:0030411:85 б</w:t>
      </w:r>
      <w:r>
        <w:t>ыло возможно путем внесения изменений в границы смежных  земельных участков с кадастровыми номерами 50:27:0030411:85 и 50:27:0030411:24, суд  обоснованно  при их определении взял за основу схему №  5 заключения судебной дополнительной экспертизы,  с учетом</w:t>
      </w:r>
      <w:r>
        <w:t xml:space="preserve">  фактического землепользования, а также оптимально приближенных показателей к размеру площади спорных объектов недвижимости по правоустанавливающим документам и данных ЕГРН и с учетом того, что в соответствии с Решением  Исполнительного комитета народных </w:t>
      </w:r>
      <w:r>
        <w:t xml:space="preserve">депутатов Московской области от 28.05.1982 № 583/9 и фрагмента плана </w:t>
      </w:r>
      <w:r>
        <w:rPr>
          <w:rStyle w:val="cat-OrganizationNamegrp-60rplc-143"/>
        </w:rPr>
        <w:t>наименование организации</w:t>
      </w:r>
      <w:r>
        <w:t xml:space="preserve"> все садовые участки, составляющие территорию </w:t>
      </w:r>
      <w:r>
        <w:rPr>
          <w:rStyle w:val="cat-OrganizationNamegrp-60rplc-145"/>
        </w:rPr>
        <w:t>наименование организации</w:t>
      </w:r>
      <w:r>
        <w:t xml:space="preserve"> запроектированы площадью 500 кв.м.</w:t>
      </w:r>
    </w:p>
    <w:p w14:paraId="47EDCE7E" w14:textId="77777777" w:rsidR="007F5395" w:rsidRDefault="006004F7">
      <w:pPr>
        <w:ind w:firstLine="540"/>
        <w:jc w:val="both"/>
      </w:pPr>
      <w:r>
        <w:t xml:space="preserve">Принятие судом решения о восстановлении прав истца по первоначальному иску </w:t>
      </w:r>
      <w:r>
        <w:rPr>
          <w:rStyle w:val="cat-FIOgrp-45rplc-146"/>
        </w:rPr>
        <w:t>фио</w:t>
      </w:r>
      <w:r>
        <w:t xml:space="preserve"> по варианту схемы № 5 судебной землеустроительной дополнительной экспертизы на тщательном исследовании всех обстоятельств дела и надлежащей оценке доказательств.</w:t>
      </w:r>
    </w:p>
    <w:p w14:paraId="09179CC8" w14:textId="77777777" w:rsidR="007F5395" w:rsidRDefault="006004F7">
      <w:pPr>
        <w:ind w:firstLine="709"/>
        <w:jc w:val="both"/>
      </w:pPr>
      <w:r>
        <w:t>Доводы апелляци</w:t>
      </w:r>
      <w:r>
        <w:t xml:space="preserve">онной жалобы об отсутствии оснований для возложения на </w:t>
      </w:r>
      <w:r>
        <w:rPr>
          <w:rStyle w:val="cat-FIOgrp-38rplc-147"/>
        </w:rPr>
        <w:t>фио</w:t>
      </w:r>
      <w:r>
        <w:t xml:space="preserve"> обязанности  передвинуть забор, установленный между земельными участками с кадастровыми номерами 50:27:0030411:85 и 50:27:0030411:24 согласно границе, установленной судебным экспертным заключением </w:t>
      </w:r>
      <w:r>
        <w:t>по схеме 5, не свидетельствуют о наличии правовых оснований к отмене решения, поскольку по существу сводятся к выражению несогласия с произведенной судом оценкой обстоятельств дела и повторяют изложенную ранее заявителем позицию, которая была предметом исс</w:t>
      </w:r>
      <w:r>
        <w:t>ледования и оценки суда и была им правомерно отвергнута.</w:t>
      </w:r>
    </w:p>
    <w:p w14:paraId="69E6526F" w14:textId="77777777" w:rsidR="007F5395" w:rsidRDefault="006004F7">
      <w:pPr>
        <w:ind w:firstLine="709"/>
        <w:jc w:val="both"/>
      </w:pPr>
      <w:r>
        <w:t xml:space="preserve"> Оснований для иной оценки исследованных доказательств судебная коллегия не усматривает, поскольку как было установлено заключениями судебных экспертиз фактические границы </w:t>
      </w:r>
      <w:r>
        <w:rPr>
          <w:rStyle w:val="cat-Addressgrp-4rplc-148"/>
        </w:rPr>
        <w:t>адрес</w:t>
      </w:r>
      <w:r>
        <w:t xml:space="preserve"> с кадастровым номером</w:t>
      </w:r>
      <w:r>
        <w:t xml:space="preserve"> 50:27:0030411:85 не соответствуют границам, указанным на плане участка, не соответствуют границам по данным  ЕГРН. </w:t>
      </w:r>
    </w:p>
    <w:p w14:paraId="43F56BDA" w14:textId="77777777" w:rsidR="007F5395" w:rsidRDefault="006004F7">
      <w:pPr>
        <w:ind w:firstLine="540"/>
        <w:jc w:val="both"/>
      </w:pPr>
      <w:r>
        <w:t>Доводы апелляционной жалобы о том, что суд неполно исследовал доказательства по делу, что выводы суда не соответствуют обстоятельствам дела</w:t>
      </w:r>
      <w:r>
        <w:t xml:space="preserve"> и что неправильно были применены судом нормы материального права являются несостоятельными, так как они не опровергают решение суда, в котором выводы суда соответствуют обстоятельствам дела, представленные доказательства были оценены надлежащим образом по</w:t>
      </w:r>
      <w:r>
        <w:t xml:space="preserve"> правилам </w:t>
      </w:r>
      <w:hyperlink r:id="rId12" w:history="1">
        <w:r>
          <w:rPr>
            <w:color w:val="0000EE"/>
          </w:rPr>
          <w:t>ст. 67</w:t>
        </w:r>
      </w:hyperlink>
      <w:r>
        <w:t xml:space="preserve"> ГПК РФ в их совокупности, нормы материального права применены судом правильн</w:t>
      </w:r>
      <w:r>
        <w:t>о.</w:t>
      </w:r>
    </w:p>
    <w:p w14:paraId="393769E1" w14:textId="77777777" w:rsidR="007F5395" w:rsidRDefault="006004F7">
      <w:pPr>
        <w:ind w:firstLine="708"/>
        <w:jc w:val="both"/>
      </w:pPr>
      <w:r>
        <w:t>Приведенные в апелляционной жалобе доводы проверены  и  признаются судебной коллегией необоснованными, так как своего правового и документального обоснования в материалах дела не нашли, выводов суда первой инстанции не опровергли.</w:t>
      </w:r>
    </w:p>
    <w:p w14:paraId="1DE5B4DB" w14:textId="77777777" w:rsidR="007F5395" w:rsidRDefault="006004F7">
      <w:pPr>
        <w:ind w:firstLine="709"/>
        <w:jc w:val="both"/>
      </w:pPr>
      <w:r>
        <w:t>Выводы суда подробно м</w:t>
      </w:r>
      <w:r>
        <w:t>отивированы, соответствуют требованиям закона и фактическим обстоятельствам дела, оснований, предусмотренных статьей 330 ГПК  РФ, для признания их ошибочными и отмены решения суда в апелляционном порядке не установлено.</w:t>
      </w:r>
    </w:p>
    <w:p w14:paraId="1058006A" w14:textId="77777777" w:rsidR="007F5395" w:rsidRDefault="006004F7">
      <w:pPr>
        <w:ind w:firstLine="709"/>
        <w:jc w:val="both"/>
      </w:pPr>
      <w:r>
        <w:t>При таких обстоятельствах, решение с</w:t>
      </w:r>
      <w:r>
        <w:t>уда является законным и обоснованным, оснований к его отмене не усматривается.</w:t>
      </w:r>
    </w:p>
    <w:p w14:paraId="1B14A798" w14:textId="77777777" w:rsidR="007F5395" w:rsidRDefault="006004F7">
      <w:pPr>
        <w:ind w:firstLine="567"/>
        <w:jc w:val="both"/>
      </w:pPr>
      <w:r>
        <w:t xml:space="preserve">   Апелляционная жалоба не содержит правовых оснований, предусмотренных </w:t>
      </w:r>
      <w:hyperlink r:id="rId13" w:history="1">
        <w:r>
          <w:rPr>
            <w:color w:val="0000EE"/>
          </w:rPr>
          <w:t>ст. 330</w:t>
        </w:r>
      </w:hyperlink>
      <w:r>
        <w:t xml:space="preserve"> ГПК РФ, к отмене постановленного судом решения.</w:t>
      </w:r>
    </w:p>
    <w:p w14:paraId="026E37D5" w14:textId="77777777" w:rsidR="007F5395" w:rsidRDefault="006004F7">
      <w:pPr>
        <w:ind w:firstLine="709"/>
        <w:jc w:val="both"/>
      </w:pPr>
      <w:r>
        <w:t xml:space="preserve">На основании изложенного, руководствуясь ст.ст. 328-330 ГПК РФ, судебная коллегия </w:t>
      </w:r>
    </w:p>
    <w:p w14:paraId="5960900A" w14:textId="77777777" w:rsidR="007F5395" w:rsidRDefault="006004F7">
      <w:pPr>
        <w:ind w:firstLine="709"/>
        <w:jc w:val="center"/>
      </w:pPr>
      <w:r>
        <w:rPr>
          <w:b/>
          <w:bCs/>
        </w:rPr>
        <w:t>ОПРЕДЕЛИЛА:</w:t>
      </w:r>
    </w:p>
    <w:p w14:paraId="6882A92C" w14:textId="77777777" w:rsidR="007F5395" w:rsidRDefault="006004F7">
      <w:pPr>
        <w:ind w:firstLine="709"/>
        <w:jc w:val="both"/>
      </w:pPr>
    </w:p>
    <w:p w14:paraId="77A0F025" w14:textId="77777777" w:rsidR="007F5395" w:rsidRDefault="006004F7">
      <w:pPr>
        <w:ind w:firstLine="709"/>
        <w:jc w:val="both"/>
      </w:pPr>
    </w:p>
    <w:p w14:paraId="7429C29C" w14:textId="77777777" w:rsidR="007F5395" w:rsidRDefault="006004F7">
      <w:pPr>
        <w:ind w:firstLine="709"/>
        <w:jc w:val="both"/>
      </w:pPr>
      <w:r>
        <w:lastRenderedPageBreak/>
        <w:t>решение Троицкого    районного суда г. Москвы от 25 марта 2019  г. оставить без изм</w:t>
      </w:r>
      <w:r>
        <w:t xml:space="preserve">енения, апелляционную жалобу </w:t>
      </w:r>
      <w:r>
        <w:rPr>
          <w:rStyle w:val="cat-FIOgrp-30rplc-151"/>
        </w:rPr>
        <w:t>фио</w:t>
      </w:r>
      <w:r>
        <w:t xml:space="preserve">  – без удовлетворения.</w:t>
      </w:r>
    </w:p>
    <w:p w14:paraId="011BCE97" w14:textId="77777777" w:rsidR="007F5395" w:rsidRDefault="006004F7">
      <w:pPr>
        <w:ind w:firstLine="709"/>
        <w:jc w:val="both"/>
      </w:pPr>
    </w:p>
    <w:p w14:paraId="22D12A55" w14:textId="77777777" w:rsidR="007F5395" w:rsidRDefault="006004F7">
      <w:pPr>
        <w:ind w:firstLine="709"/>
        <w:jc w:val="both"/>
      </w:pPr>
    </w:p>
    <w:p w14:paraId="4D51D08D" w14:textId="77777777" w:rsidR="007F5395" w:rsidRDefault="006004F7">
      <w:pPr>
        <w:ind w:firstLine="709"/>
        <w:jc w:val="both"/>
      </w:pPr>
      <w:r>
        <w:rPr>
          <w:b/>
          <w:bCs/>
        </w:rPr>
        <w:t>Председательствующий:</w:t>
      </w:r>
    </w:p>
    <w:p w14:paraId="56BA961D" w14:textId="77777777" w:rsidR="007F5395" w:rsidRDefault="006004F7">
      <w:pPr>
        <w:ind w:firstLine="709"/>
        <w:jc w:val="both"/>
      </w:pPr>
    </w:p>
    <w:p w14:paraId="4F1DB372" w14:textId="77777777" w:rsidR="007F5395" w:rsidRDefault="006004F7">
      <w:pPr>
        <w:ind w:firstLine="709"/>
        <w:jc w:val="both"/>
      </w:pPr>
      <w:r>
        <w:rPr>
          <w:b/>
          <w:bCs/>
        </w:rPr>
        <w:t>Судьи:</w:t>
      </w:r>
    </w:p>
    <w:sectPr w:rsidR="007F5395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9"/>
    <w:rsid w:val="006004F7"/>
    <w:rsid w:val="00A0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DC5"/>
  <w15:docId w15:val="{A29994B5-51C5-4A3B-88CE-E16C4CB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FIOgrp-30rplc-7">
    <w:name w:val="cat-FIO grp-30 rplc-7"/>
    <w:basedOn w:val="a0"/>
  </w:style>
  <w:style w:type="character" w:customStyle="1" w:styleId="cat-FIOgrp-32rplc-10">
    <w:name w:val="cat-FIO grp-32 rplc-10"/>
    <w:basedOn w:val="a0"/>
  </w:style>
  <w:style w:type="character" w:customStyle="1" w:styleId="cat-FIOgrp-31rplc-11">
    <w:name w:val="cat-FIO grp-31 rplc-11"/>
    <w:basedOn w:val="a0"/>
  </w:style>
  <w:style w:type="character" w:customStyle="1" w:styleId="cat-Addressgrp-1rplc-13">
    <w:name w:val="cat-Address grp-1 rplc-13"/>
    <w:basedOn w:val="a0"/>
  </w:style>
  <w:style w:type="character" w:customStyle="1" w:styleId="cat-Addressgrp-2rplc-14">
    <w:name w:val="cat-Address grp-2 rplc-14"/>
    <w:basedOn w:val="a0"/>
  </w:style>
  <w:style w:type="character" w:customStyle="1" w:styleId="cat-OrganizationNamegrp-56rplc-15">
    <w:name w:val="cat-OrganizationName grp-56 rplc-15"/>
    <w:basedOn w:val="a0"/>
  </w:style>
  <w:style w:type="character" w:customStyle="1" w:styleId="cat-Addressgrp-1rplc-17">
    <w:name w:val="cat-Address grp-1 rplc-17"/>
    <w:basedOn w:val="a0"/>
  </w:style>
  <w:style w:type="character" w:customStyle="1" w:styleId="cat-Addressgrp-2rplc-18">
    <w:name w:val="cat-Address grp-2 rplc-18"/>
    <w:basedOn w:val="a0"/>
  </w:style>
  <w:style w:type="character" w:customStyle="1" w:styleId="cat-OrganizationNamegrp-56rplc-19">
    <w:name w:val="cat-OrganizationName grp-56 rplc-19"/>
    <w:basedOn w:val="a0"/>
  </w:style>
  <w:style w:type="character" w:customStyle="1" w:styleId="cat-FIOgrp-31rplc-20">
    <w:name w:val="cat-FIO grp-31 rplc-20"/>
    <w:basedOn w:val="a0"/>
  </w:style>
  <w:style w:type="character" w:customStyle="1" w:styleId="cat-FIOgrp-32rplc-21">
    <w:name w:val="cat-FIO grp-32 rplc-21"/>
    <w:basedOn w:val="a0"/>
  </w:style>
  <w:style w:type="character" w:customStyle="1" w:styleId="cat-FIOgrp-33rplc-23">
    <w:name w:val="cat-FIO grp-33 rplc-23"/>
    <w:basedOn w:val="a0"/>
  </w:style>
  <w:style w:type="character" w:customStyle="1" w:styleId="cat-FIOgrp-34rplc-24">
    <w:name w:val="cat-FIO grp-34 rplc-24"/>
    <w:basedOn w:val="a0"/>
  </w:style>
  <w:style w:type="character" w:customStyle="1" w:styleId="cat-FIOgrp-30rplc-25">
    <w:name w:val="cat-FIO grp-30 rplc-25"/>
    <w:basedOn w:val="a0"/>
  </w:style>
  <w:style w:type="character" w:customStyle="1" w:styleId="cat-FIOgrp-35rplc-26">
    <w:name w:val="cat-FIO grp-35 rplc-26"/>
    <w:basedOn w:val="a0"/>
  </w:style>
  <w:style w:type="character" w:customStyle="1" w:styleId="cat-FIOgrp-36rplc-27">
    <w:name w:val="cat-FIO grp-36 rplc-27"/>
    <w:basedOn w:val="a0"/>
  </w:style>
  <w:style w:type="character" w:customStyle="1" w:styleId="cat-Addressgrp-2rplc-29">
    <w:name w:val="cat-Address grp-2 rplc-29"/>
    <w:basedOn w:val="a0"/>
  </w:style>
  <w:style w:type="character" w:customStyle="1" w:styleId="cat-OrganizationNamegrp-57rplc-30">
    <w:name w:val="cat-OrganizationName grp-57 rplc-30"/>
    <w:basedOn w:val="a0"/>
  </w:style>
  <w:style w:type="character" w:customStyle="1" w:styleId="cat-FIOgrp-30rplc-31">
    <w:name w:val="cat-FIO grp-30 rplc-31"/>
    <w:basedOn w:val="a0"/>
  </w:style>
  <w:style w:type="character" w:customStyle="1" w:styleId="cat-FIOgrp-37rplc-32">
    <w:name w:val="cat-FIO grp-37 rplc-32"/>
    <w:basedOn w:val="a0"/>
  </w:style>
  <w:style w:type="character" w:customStyle="1" w:styleId="cat-FIOgrp-37rplc-33">
    <w:name w:val="cat-FIO grp-37 rplc-33"/>
    <w:basedOn w:val="a0"/>
  </w:style>
  <w:style w:type="character" w:customStyle="1" w:styleId="cat-FIOgrp-37rplc-34">
    <w:name w:val="cat-FIO grp-37 rplc-34"/>
    <w:basedOn w:val="a0"/>
  </w:style>
  <w:style w:type="character" w:customStyle="1" w:styleId="cat-FIOgrp-38rplc-36">
    <w:name w:val="cat-FIO grp-38 rplc-36"/>
    <w:basedOn w:val="a0"/>
  </w:style>
  <w:style w:type="character" w:customStyle="1" w:styleId="cat-FIOgrp-39rplc-37">
    <w:name w:val="cat-FIO grp-39 rplc-37"/>
    <w:basedOn w:val="a0"/>
  </w:style>
  <w:style w:type="character" w:customStyle="1" w:styleId="cat-FIOgrp-40rplc-38">
    <w:name w:val="cat-FIO grp-40 rplc-38"/>
    <w:basedOn w:val="a0"/>
  </w:style>
  <w:style w:type="character" w:customStyle="1" w:styleId="cat-FIOgrp-41rplc-39">
    <w:name w:val="cat-FIO grp-41 rplc-39"/>
    <w:basedOn w:val="a0"/>
  </w:style>
  <w:style w:type="character" w:customStyle="1" w:styleId="cat-FIOgrp-42rplc-40">
    <w:name w:val="cat-FIO grp-42 rplc-40"/>
    <w:basedOn w:val="a0"/>
  </w:style>
  <w:style w:type="character" w:customStyle="1" w:styleId="cat-OrganizationNamegrp-57rplc-41">
    <w:name w:val="cat-OrganizationName grp-57 rplc-41"/>
    <w:basedOn w:val="a0"/>
  </w:style>
  <w:style w:type="character" w:customStyle="1" w:styleId="cat-Addressgrp-3rplc-42">
    <w:name w:val="cat-Address grp-3 rplc-42"/>
    <w:basedOn w:val="a0"/>
  </w:style>
  <w:style w:type="character" w:customStyle="1" w:styleId="cat-Addressgrp-2rplc-43">
    <w:name w:val="cat-Address grp-2 rplc-43"/>
    <w:basedOn w:val="a0"/>
  </w:style>
  <w:style w:type="character" w:customStyle="1" w:styleId="cat-OrganizationNamegrp-57rplc-44">
    <w:name w:val="cat-OrganizationName grp-57 rplc-44"/>
    <w:basedOn w:val="a0"/>
  </w:style>
  <w:style w:type="character" w:customStyle="1" w:styleId="cat-Addressgrp-4rplc-45">
    <w:name w:val="cat-Address grp-4 rplc-45"/>
    <w:basedOn w:val="a0"/>
  </w:style>
  <w:style w:type="character" w:customStyle="1" w:styleId="cat-FIOgrp-34rplc-46">
    <w:name w:val="cat-FIO grp-34 rplc-46"/>
    <w:basedOn w:val="a0"/>
  </w:style>
  <w:style w:type="character" w:customStyle="1" w:styleId="cat-FIOgrp-43rplc-47">
    <w:name w:val="cat-FIO grp-43 rplc-47"/>
    <w:basedOn w:val="a0"/>
  </w:style>
  <w:style w:type="character" w:customStyle="1" w:styleId="cat-FIOgrp-30rplc-48">
    <w:name w:val="cat-FIO grp-30 rplc-48"/>
    <w:basedOn w:val="a0"/>
  </w:style>
  <w:style w:type="character" w:customStyle="1" w:styleId="cat-FIOgrp-38rplc-49">
    <w:name w:val="cat-FIO grp-38 rplc-49"/>
    <w:basedOn w:val="a0"/>
  </w:style>
  <w:style w:type="character" w:customStyle="1" w:styleId="cat-FIOgrp-35rplc-50">
    <w:name w:val="cat-FIO grp-35 rplc-50"/>
    <w:basedOn w:val="a0"/>
  </w:style>
  <w:style w:type="character" w:customStyle="1" w:styleId="cat-FIOgrp-36rplc-51">
    <w:name w:val="cat-FIO grp-36 rplc-51"/>
    <w:basedOn w:val="a0"/>
  </w:style>
  <w:style w:type="character" w:customStyle="1" w:styleId="cat-FIOgrp-41rplc-52">
    <w:name w:val="cat-FIO grp-41 rplc-52"/>
    <w:basedOn w:val="a0"/>
  </w:style>
  <w:style w:type="character" w:customStyle="1" w:styleId="cat-FIOgrp-42rplc-53">
    <w:name w:val="cat-FIO grp-42 rplc-53"/>
    <w:basedOn w:val="a0"/>
  </w:style>
  <w:style w:type="character" w:customStyle="1" w:styleId="cat-FIOgrp-44rplc-54">
    <w:name w:val="cat-FIO grp-44 rplc-54"/>
    <w:basedOn w:val="a0"/>
  </w:style>
  <w:style w:type="character" w:customStyle="1" w:styleId="cat-FIOgrp-43rplc-55">
    <w:name w:val="cat-FIO grp-43 rplc-55"/>
    <w:basedOn w:val="a0"/>
  </w:style>
  <w:style w:type="character" w:customStyle="1" w:styleId="cat-OrganizationNamegrp-57rplc-56">
    <w:name w:val="cat-OrganizationName grp-57 rplc-56"/>
    <w:basedOn w:val="a0"/>
  </w:style>
  <w:style w:type="character" w:customStyle="1" w:styleId="cat-FIOgrp-38rplc-57">
    <w:name w:val="cat-FIO grp-38 rplc-57"/>
    <w:basedOn w:val="a0"/>
  </w:style>
  <w:style w:type="character" w:customStyle="1" w:styleId="cat-FIOgrp-38rplc-58">
    <w:name w:val="cat-FIO grp-38 rplc-58"/>
    <w:basedOn w:val="a0"/>
  </w:style>
  <w:style w:type="character" w:customStyle="1" w:styleId="cat-FIOgrp-35rplc-59">
    <w:name w:val="cat-FIO grp-35 rplc-59"/>
    <w:basedOn w:val="a0"/>
  </w:style>
  <w:style w:type="character" w:customStyle="1" w:styleId="cat-FIOgrp-36rplc-60">
    <w:name w:val="cat-FIO grp-36 rplc-60"/>
    <w:basedOn w:val="a0"/>
  </w:style>
  <w:style w:type="character" w:customStyle="1" w:styleId="cat-FIOgrp-34rplc-61">
    <w:name w:val="cat-FIO grp-34 rplc-61"/>
    <w:basedOn w:val="a0"/>
  </w:style>
  <w:style w:type="character" w:customStyle="1" w:styleId="cat-FIOgrp-44rplc-62">
    <w:name w:val="cat-FIO grp-44 rplc-62"/>
    <w:basedOn w:val="a0"/>
  </w:style>
  <w:style w:type="character" w:customStyle="1" w:styleId="cat-FIOgrp-41rplc-63">
    <w:name w:val="cat-FIO grp-41 rplc-63"/>
    <w:basedOn w:val="a0"/>
  </w:style>
  <w:style w:type="character" w:customStyle="1" w:styleId="cat-FIOgrp-42rplc-64">
    <w:name w:val="cat-FIO grp-42 rplc-64"/>
    <w:basedOn w:val="a0"/>
  </w:style>
  <w:style w:type="character" w:customStyle="1" w:styleId="cat-OrganizationNamegrp-57rplc-65">
    <w:name w:val="cat-OrganizationName grp-57 rplc-65"/>
    <w:basedOn w:val="a0"/>
  </w:style>
  <w:style w:type="character" w:customStyle="1" w:styleId="cat-OrganizationNamegrp-57rplc-66">
    <w:name w:val="cat-OrganizationName grp-57 rplc-66"/>
    <w:basedOn w:val="a0"/>
  </w:style>
  <w:style w:type="character" w:customStyle="1" w:styleId="cat-FIOgrp-45rplc-68">
    <w:name w:val="cat-FIO grp-45 rplc-68"/>
    <w:basedOn w:val="a0"/>
  </w:style>
  <w:style w:type="character" w:customStyle="1" w:styleId="cat-FIOgrp-46rplc-69">
    <w:name w:val="cat-FIO grp-46 rplc-69"/>
    <w:basedOn w:val="a0"/>
  </w:style>
  <w:style w:type="character" w:customStyle="1" w:styleId="cat-FIOgrp-37rplc-77">
    <w:name w:val="cat-FIO grp-37 rplc-77"/>
    <w:basedOn w:val="a0"/>
  </w:style>
  <w:style w:type="character" w:customStyle="1" w:styleId="cat-Addressgrp-3rplc-78">
    <w:name w:val="cat-Address grp-3 rplc-78"/>
    <w:basedOn w:val="a0"/>
  </w:style>
  <w:style w:type="character" w:customStyle="1" w:styleId="cat-Addressgrp-2rplc-79">
    <w:name w:val="cat-Address grp-2 rplc-79"/>
    <w:basedOn w:val="a0"/>
  </w:style>
  <w:style w:type="character" w:customStyle="1" w:styleId="cat-OrganizationNamegrp-57rplc-80">
    <w:name w:val="cat-OrganizationName grp-57 rplc-80"/>
    <w:basedOn w:val="a0"/>
  </w:style>
  <w:style w:type="character" w:customStyle="1" w:styleId="cat-FIOgrp-47rplc-82">
    <w:name w:val="cat-FIO grp-47 rplc-82"/>
    <w:basedOn w:val="a0"/>
  </w:style>
  <w:style w:type="character" w:customStyle="1" w:styleId="cat-FIOgrp-48rplc-83">
    <w:name w:val="cat-FIO grp-48 rplc-83"/>
    <w:basedOn w:val="a0"/>
  </w:style>
  <w:style w:type="character" w:customStyle="1" w:styleId="cat-FIOgrp-53rplc-84">
    <w:name w:val="cat-FIO grp-53 rplc-84"/>
    <w:basedOn w:val="a0"/>
  </w:style>
  <w:style w:type="character" w:customStyle="1" w:styleId="cat-Addressgrp-3rplc-86">
    <w:name w:val="cat-Address grp-3 rplc-86"/>
    <w:basedOn w:val="a0"/>
  </w:style>
  <w:style w:type="character" w:customStyle="1" w:styleId="cat-Addressgrp-2rplc-87">
    <w:name w:val="cat-Address grp-2 rplc-87"/>
    <w:basedOn w:val="a0"/>
  </w:style>
  <w:style w:type="character" w:customStyle="1" w:styleId="cat-FIOgrp-30rplc-88">
    <w:name w:val="cat-FIO grp-30 rplc-88"/>
    <w:basedOn w:val="a0"/>
  </w:style>
  <w:style w:type="character" w:customStyle="1" w:styleId="cat-Addressgrp-3rplc-92">
    <w:name w:val="cat-Address grp-3 rplc-92"/>
    <w:basedOn w:val="a0"/>
  </w:style>
  <w:style w:type="character" w:customStyle="1" w:styleId="cat-Addressgrp-2rplc-93">
    <w:name w:val="cat-Address grp-2 rplc-93"/>
    <w:basedOn w:val="a0"/>
  </w:style>
  <w:style w:type="character" w:customStyle="1" w:styleId="cat-FIOgrp-36rplc-94">
    <w:name w:val="cat-FIO grp-36 rplc-94"/>
    <w:basedOn w:val="a0"/>
  </w:style>
  <w:style w:type="character" w:customStyle="1" w:styleId="cat-Addressgrp-3rplc-96">
    <w:name w:val="cat-Address grp-3 rplc-96"/>
    <w:basedOn w:val="a0"/>
  </w:style>
  <w:style w:type="character" w:customStyle="1" w:styleId="cat-Addressgrp-2rplc-97">
    <w:name w:val="cat-Address grp-2 rplc-97"/>
    <w:basedOn w:val="a0"/>
  </w:style>
  <w:style w:type="character" w:customStyle="1" w:styleId="cat-FIOgrp-42rplc-98">
    <w:name w:val="cat-FIO grp-42 rplc-98"/>
    <w:basedOn w:val="a0"/>
  </w:style>
  <w:style w:type="character" w:customStyle="1" w:styleId="cat-Addressgrp-3rplc-100">
    <w:name w:val="cat-Address grp-3 rplc-100"/>
    <w:basedOn w:val="a0"/>
  </w:style>
  <w:style w:type="character" w:customStyle="1" w:styleId="cat-Addressgrp-2rplc-101">
    <w:name w:val="cat-Address grp-2 rplc-101"/>
    <w:basedOn w:val="a0"/>
  </w:style>
  <w:style w:type="character" w:customStyle="1" w:styleId="cat-FIOgrp-49rplc-102">
    <w:name w:val="cat-FIO grp-49 rplc-102"/>
    <w:basedOn w:val="a0"/>
  </w:style>
  <w:style w:type="character" w:customStyle="1" w:styleId="cat-Addressgrp-9rplc-103">
    <w:name w:val="cat-Address grp-9 rplc-103"/>
    <w:basedOn w:val="a0"/>
  </w:style>
  <w:style w:type="character" w:customStyle="1" w:styleId="cat-FIOgrp-37rplc-105">
    <w:name w:val="cat-FIO grp-37 rplc-105"/>
    <w:basedOn w:val="a0"/>
  </w:style>
  <w:style w:type="character" w:customStyle="1" w:styleId="cat-OrganizationNamegrp-58rplc-107">
    <w:name w:val="cat-OrganizationName grp-58 rplc-107"/>
    <w:basedOn w:val="a0"/>
  </w:style>
  <w:style w:type="character" w:customStyle="1" w:styleId="cat-FIOgrp-30rplc-109">
    <w:name w:val="cat-FIO grp-30 rplc-109"/>
    <w:basedOn w:val="a0"/>
  </w:style>
  <w:style w:type="character" w:customStyle="1" w:styleId="cat-FIOgrp-50rplc-110">
    <w:name w:val="cat-FIO grp-50 rplc-110"/>
    <w:basedOn w:val="a0"/>
  </w:style>
  <w:style w:type="character" w:customStyle="1" w:styleId="cat-Addressgrp-4rplc-111">
    <w:name w:val="cat-Address grp-4 rplc-111"/>
    <w:basedOn w:val="a0"/>
  </w:style>
  <w:style w:type="character" w:customStyle="1" w:styleId="cat-OrganizationNamegrp-56rplc-112">
    <w:name w:val="cat-OrganizationName grp-56 rplc-112"/>
    <w:basedOn w:val="a0"/>
  </w:style>
  <w:style w:type="character" w:customStyle="1" w:styleId="cat-Addressgrp-4rplc-113">
    <w:name w:val="cat-Address grp-4 rplc-113"/>
    <w:basedOn w:val="a0"/>
  </w:style>
  <w:style w:type="character" w:customStyle="1" w:styleId="cat-Addressgrp-4rplc-114">
    <w:name w:val="cat-Address grp-4 rplc-114"/>
    <w:basedOn w:val="a0"/>
  </w:style>
  <w:style w:type="character" w:customStyle="1" w:styleId="cat-Addressgrp-11rplc-115">
    <w:name w:val="cat-Address grp-11 rplc-115"/>
    <w:basedOn w:val="a0"/>
  </w:style>
  <w:style w:type="character" w:customStyle="1" w:styleId="cat-OrganizationNamegrp-56rplc-117">
    <w:name w:val="cat-OrganizationName grp-56 rplc-117"/>
    <w:basedOn w:val="a0"/>
  </w:style>
  <w:style w:type="character" w:customStyle="1" w:styleId="cat-FIOgrp-30rplc-118">
    <w:name w:val="cat-FIO grp-30 rplc-118"/>
    <w:basedOn w:val="a0"/>
  </w:style>
  <w:style w:type="character" w:customStyle="1" w:styleId="cat-Addressgrp-11rplc-119">
    <w:name w:val="cat-Address grp-11 rplc-119"/>
    <w:basedOn w:val="a0"/>
  </w:style>
  <w:style w:type="character" w:customStyle="1" w:styleId="cat-Addressgrp-1rplc-121">
    <w:name w:val="cat-Address grp-1 rplc-121"/>
    <w:basedOn w:val="a0"/>
  </w:style>
  <w:style w:type="character" w:customStyle="1" w:styleId="cat-Addressgrp-2rplc-122">
    <w:name w:val="cat-Address grp-2 rplc-122"/>
    <w:basedOn w:val="a0"/>
  </w:style>
  <w:style w:type="character" w:customStyle="1" w:styleId="cat-OrganizationNamegrp-56rplc-123">
    <w:name w:val="cat-OrganizationName grp-56 rplc-123"/>
    <w:basedOn w:val="a0"/>
  </w:style>
  <w:style w:type="character" w:customStyle="1" w:styleId="cat-FIOgrp-38rplc-126">
    <w:name w:val="cat-FIO grp-38 rplc-126"/>
    <w:basedOn w:val="a0"/>
  </w:style>
  <w:style w:type="character" w:customStyle="1" w:styleId="cat-OrganizationNamegrp-59rplc-127">
    <w:name w:val="cat-OrganizationName grp-59 rplc-127"/>
    <w:basedOn w:val="a0"/>
  </w:style>
  <w:style w:type="character" w:customStyle="1" w:styleId="cat-FIOgrp-51rplc-128">
    <w:name w:val="cat-FIO grp-51 rplc-128"/>
    <w:basedOn w:val="a0"/>
  </w:style>
  <w:style w:type="character" w:customStyle="1" w:styleId="cat-FIOgrp-30rplc-129">
    <w:name w:val="cat-FIO grp-30 rplc-129"/>
    <w:basedOn w:val="a0"/>
  </w:style>
  <w:style w:type="character" w:customStyle="1" w:styleId="cat-FIOgrp-52rplc-130">
    <w:name w:val="cat-FIO grp-52 rplc-130"/>
    <w:basedOn w:val="a0"/>
  </w:style>
  <w:style w:type="character" w:customStyle="1" w:styleId="cat-FIOgrp-30rplc-133">
    <w:name w:val="cat-FIO grp-30 rplc-133"/>
    <w:basedOn w:val="a0"/>
  </w:style>
  <w:style w:type="character" w:customStyle="1" w:styleId="cat-FIOgrp-34rplc-134">
    <w:name w:val="cat-FIO grp-34 rplc-134"/>
    <w:basedOn w:val="a0"/>
  </w:style>
  <w:style w:type="character" w:customStyle="1" w:styleId="cat-FIOgrp-38rplc-135">
    <w:name w:val="cat-FIO grp-38 rplc-135"/>
    <w:basedOn w:val="a0"/>
  </w:style>
  <w:style w:type="character" w:customStyle="1" w:styleId="cat-OrganizationNamegrp-58rplc-136">
    <w:name w:val="cat-OrganizationName grp-58 rplc-136"/>
    <w:basedOn w:val="a0"/>
  </w:style>
  <w:style w:type="character" w:customStyle="1" w:styleId="cat-Addressgrp-11rplc-137">
    <w:name w:val="cat-Address grp-11 rplc-137"/>
    <w:basedOn w:val="a0"/>
  </w:style>
  <w:style w:type="character" w:customStyle="1" w:styleId="cat-Addressgrp-4rplc-138">
    <w:name w:val="cat-Address grp-4 rplc-138"/>
    <w:basedOn w:val="a0"/>
  </w:style>
  <w:style w:type="character" w:customStyle="1" w:styleId="cat-Addressgrp-11rplc-139">
    <w:name w:val="cat-Address grp-11 rplc-139"/>
    <w:basedOn w:val="a0"/>
  </w:style>
  <w:style w:type="character" w:customStyle="1" w:styleId="cat-Addressgrp-4rplc-140">
    <w:name w:val="cat-Address grp-4 rplc-140"/>
    <w:basedOn w:val="a0"/>
  </w:style>
  <w:style w:type="character" w:customStyle="1" w:styleId="cat-OrganizationNamegrp-60rplc-143">
    <w:name w:val="cat-OrganizationName grp-60 rplc-143"/>
    <w:basedOn w:val="a0"/>
  </w:style>
  <w:style w:type="character" w:customStyle="1" w:styleId="cat-OrganizationNamegrp-60rplc-145">
    <w:name w:val="cat-OrganizationName grp-60 rplc-145"/>
    <w:basedOn w:val="a0"/>
  </w:style>
  <w:style w:type="character" w:customStyle="1" w:styleId="cat-FIOgrp-45rplc-146">
    <w:name w:val="cat-FIO grp-45 rplc-146"/>
    <w:basedOn w:val="a0"/>
  </w:style>
  <w:style w:type="character" w:customStyle="1" w:styleId="cat-FIOgrp-38rplc-147">
    <w:name w:val="cat-FIO grp-38 rplc-147"/>
    <w:basedOn w:val="a0"/>
  </w:style>
  <w:style w:type="character" w:customStyle="1" w:styleId="cat-Addressgrp-4rplc-148">
    <w:name w:val="cat-Address grp-4 rplc-148"/>
    <w:basedOn w:val="a0"/>
  </w:style>
  <w:style w:type="character" w:customStyle="1" w:styleId="cat-FIOgrp-30rplc-151">
    <w:name w:val="cat-FIO grp-30 rplc-15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6BAB419BB4E2C2DFA255D2EF765B052617AAC30CBC7B51D892DB8BA0B43FC88F2FB89F69B18EFd0d6N" TargetMode="External"/><Relationship Id="rId13" Type="http://schemas.openxmlformats.org/officeDocument/2006/relationships/hyperlink" Target="consultantplus://offline/ref=E83005E4D297CFA4CBB8B7F8EF733CB4ECEFEC48F4452EBECD60371EC0927FA86EA197DAF7e2d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EE8005539E21D2DE16407F04FF206FCCB003A73613DDCEDA617DD4FC5511E30A5436B41145A14D19c8N" TargetMode="External"/><Relationship Id="rId12" Type="http://schemas.openxmlformats.org/officeDocument/2006/relationships/hyperlink" Target="consultantplus://offline/ref=855E345EF1A8A2FE56F25FC1072C78D046F5AB0FE89D22EE52E3A4F36D87E3AA17E08DD496140C9C41E411B6A52C866A5B22C00DDC3525E4pFU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E8005539E21D2DE16407F04FF206FCCB001A13418DDCEDA617DD4FC5511E30A5436B41145A04119c5N" TargetMode="External"/><Relationship Id="rId11" Type="http://schemas.openxmlformats.org/officeDocument/2006/relationships/hyperlink" Target="consultantplus://offline/ref=C897C791B0F7D7160F67C5A5F1293ED02C832F3F3006DE67813BE2AAEBFEE31E020D9D818B804C0Ec2c6O" TargetMode="External"/><Relationship Id="rId5" Type="http://schemas.openxmlformats.org/officeDocument/2006/relationships/hyperlink" Target="consultantplus://offline/ref=D2EE8005539E21D2DE16407F04FF206FCCB001A13418DDCEDA617DD4FC5511E30A5436B41145A04619c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6BAB419BB4E2C2DFA255D2EF765B0526178AA32C0C7B51D892DB8BA0B43FC88F2FB89F69B18EEd0d3N" TargetMode="External"/><Relationship Id="rId4" Type="http://schemas.openxmlformats.org/officeDocument/2006/relationships/hyperlink" Target="file:///C:\Users\ibragimovaiv\AppData\Local\Microsoft\Windows\&#1046;&#1077;&#1085;&#1103;\Downloads\&#1050;&#1072;&#1088;&#1084;&#1072;&#1085;&#1086;&#1074;&#1072;%20&#1088;&#1077;&#1077;&#1089;&#1090;&#1088;&#1086;&#1074;&#1072;&#1103;%20&#1086;&#1096;&#1080;&#1073;&#1082;&#1072;.doc" TargetMode="External"/><Relationship Id="rId9" Type="http://schemas.openxmlformats.org/officeDocument/2006/relationships/hyperlink" Target="consultantplus://offline/ref=7DD6BAB419BB4E2C2DFA255D2EF765B052617AAC30CBC7B51D892DB8BA0B43FC88F2FB89F69B18E8d0d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5224</Words>
  <Characters>29778</Characters>
  <Application>Microsoft Office Word</Application>
  <DocSecurity>0</DocSecurity>
  <Lines>248</Lines>
  <Paragraphs>69</Paragraphs>
  <ScaleCrop>false</ScaleCrop>
  <Company/>
  <LinksUpToDate>false</LinksUpToDate>
  <CharactersWithSpaces>34933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 Рязанова</cp:lastModifiedBy>
  <cp:revision>2</cp:revision>
  <dcterms:created xsi:type="dcterms:W3CDTF">2021-09-20T16:30:00Z</dcterms:created>
  <dcterms:modified xsi:type="dcterms:W3CDTF">2021-09-20T16:30:00Z</dcterms:modified>
</cp:coreProperties>
</file>